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4C6FFF"/>
          <w:sz w:val="20"/>
          <w:szCs w:val="20"/>
        </w:rPr>
        <w:t xml:space="preserve">STANDARDS UNLIMITED</w:t>
      </w:r>
    </w:p>
    <w:p>
      <w:pPr>
        <w:spacing w:after="300"/>
        <w:jc w:val="center"/>
      </w:pPr>
      <w:r>
        <w:rPr>
          <w:b/>
          <w:bCs/>
          <w:color w:val="141233"/>
          <w:sz w:val="38"/>
          <w:szCs w:val="38"/>
        </w:rPr>
        <w:t xml:space="preserve">ISO 9001 Supplier Quality Checklist</w:t>
      </w:r>
    </w:p>
    <w:p>
      <w:pPr>
        <w:spacing w:after="400"/>
        <w:jc w:val="center"/>
      </w:pPr>
      <w:r>
        <w:rPr>
          <w:i/>
          <w:iCs/>
          <w:sz w:val="22"/>
          <w:szCs w:val="22"/>
        </w:rPr>
        <w:t xml:space="preserve">Clause 8.4 — Control of externally provided processes, products, and services</w:t>
      </w:r>
    </w:p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Supplier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Supplier name</w:t>
            </w:r>
          </w:p>
        </w:tc>
        <w:tc>
          <w:tcPr>
            <w:tcW w:type="dxa" w:w="6240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Products/services supplied</w:t>
            </w:r>
          </w:p>
        </w:tc>
        <w:tc>
          <w:tcPr>
            <w:tcW w:type="dxa" w:w="6240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Risk classification (Critical / Standard / Low)</w:t>
            </w:r>
          </w:p>
        </w:tc>
        <w:tc>
          <w:tcPr>
            <w:tcW w:type="dxa" w:w="6240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Evaluation date</w:t>
            </w:r>
          </w:p>
        </w:tc>
        <w:tc>
          <w:tcPr>
            <w:tcW w:type="dxa" w:w="6240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Evaluated by</w:t>
            </w:r>
          </w:p>
        </w:tc>
        <w:tc>
          <w:tcPr>
            <w:tcW w:type="dxa" w:w="6240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Step 1 — Risk Classification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Supplier's impact on final product/service quality assessed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Risk classification assigned: Critical / Standard / Low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Control level proportionate to classification determined</w:t>
      </w:r>
    </w:p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Step 2 — Selection Criteria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Quality certifications verified (ISO 9001 or equivalent, if applicable)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Technical capability assessed against our requirements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Delivery performance history reviewed (if existing supplier)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Financial stability checked (critical suppliers only)</w:t>
      </w:r>
    </w:p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Step 3 — Requirements Communicated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Product/service specifications documented and shared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Acceptance criteria defined and agreed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Required certifications/competencies specified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Right to audit supplier premises reserved in agreement (if applicable)</w:t>
      </w:r>
    </w:p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Step 4 — Ongoing Monitoring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On-time delivery rate tracked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Defect/non-conformance rate tracked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Response time to corrective action requests tracked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Review frequency set proportionate to risk classification</w:t>
      </w:r>
    </w:p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Step 5 — Re-Evaluation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Re-evaluation schedule defined and followed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Declining performance data triggers earlier review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Re-evaluation results documented</w:t>
      </w:r>
    </w:p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Step 6 — Non-Conformity &amp; CAPA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Supplier non-conformities logged in the same system as internal ones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Root cause analysis required from supplier for significant issues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Corrective action effectiveness verified, not just submission tracked</w:t>
      </w:r>
    </w:p>
    <w:p>
      <w:pPr>
        <w:pStyle w:val="Heading1"/>
        <w:spacing w:after="120" w:before="220"/>
      </w:pPr>
      <w:r>
        <w:rPr>
          <w:b/>
          <w:bCs/>
          <w:color w:val="141233"/>
          <w:sz w:val="32"/>
          <w:szCs w:val="32"/>
        </w:rPr>
        <w:t xml:space="preserve">Step 7 — Records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Evaluation criteria documented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Evidence behind supplier approval retained</w:t>
      </w:r>
    </w:p>
    <w:p>
      <w:pPr>
        <w:spacing w:after="90"/>
        <w:ind w:left="200"/>
      </w:pPr>
      <w:r>
        <w:rPr>
          <w:b/>
          <w:bCs/>
          <w:sz w:val="24"/>
          <w:szCs w:val="24"/>
        </w:rPr>
        <w:t xml:space="preserve">☐  </w:t>
      </w:r>
      <w:r>
        <w:rPr>
          <w:sz w:val="22"/>
          <w:szCs w:val="22"/>
        </w:rPr>
        <w:t xml:space="preserve">Full trail of performance issues and resolutions retained</w:t>
      </w:r>
    </w:p>
    <w:p>
      <w:pPr>
        <w:pBdr>
          <w:top w:val="single" w:color="CCCCCC" w:sz="4"/>
        </w:pBdr>
        <w:spacing w:before="400"/>
      </w:pPr>
    </w:p>
    <w:p>
      <w:pPr>
        <w:spacing w:before="200"/>
        <w:jc w:val="center"/>
      </w:pPr>
      <w:r>
        <w:rPr>
          <w:i/>
          <w:iCs/>
          <w:sz w:val="20"/>
          <w:szCs w:val="20"/>
        </w:rPr>
        <w:t xml:space="preserve">Need a full supplier scoring matrix and approved vendor list template?</w:t>
      </w:r>
    </w:p>
    <w:p>
      <w:pPr>
        <w:jc w:val="center"/>
      </w:pPr>
      <w:r>
        <w:rPr>
          <w:b/>
          <w:bCs/>
          <w:color w:val="4C6FFF"/>
          <w:sz w:val="20"/>
          <w:szCs w:val="20"/>
        </w:rPr>
        <w:t xml:space="preserve">See the ISO 9001:2026 Document Pack at standardsunlimited.com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2026-08-27T20:18:20.564Z</dcterms:created>
  <dcterms:modified xsi:type="dcterms:W3CDTF">2026-08-27T20:18:20.579Z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