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D8622E"/>
          <w:sz w:val="20"/>
          <w:szCs w:val="20"/>
        </w:rPr>
        <w:t xml:space="preserve">STANDARDS UNLIMITED</w:t>
      </w:r>
    </w:p>
    <w:p>
      <w:pPr>
        <w:spacing w:after="300"/>
        <w:jc w:val="center"/>
      </w:pPr>
      <w:r>
        <w:rPr>
          <w:b/>
          <w:bCs/>
          <w:color w:val="132018"/>
          <w:sz w:val="40"/>
          <w:szCs w:val="40"/>
        </w:rPr>
        <w:t xml:space="preserve">ISO 22000 Internal Audit Checklist</w:t>
      </w:r>
    </w:p>
    <w:p>
      <w:pPr>
        <w:spacing w:after="400"/>
        <w:jc w:val="center"/>
      </w:pPr>
      <w:r>
        <w:rPr>
          <w:i/>
          <w:iCs/>
          <w:sz w:val="22"/>
          <w:szCs w:val="22"/>
        </w:rPr>
        <w:t xml:space="preserve">9 steps to a pass-ready FSMS internal audit — covering ISO 22000:2018 and 2026</w:t>
      </w:r>
    </w:p>
    <w:p>
      <w:pPr>
        <w:pStyle w:val="Heading1"/>
        <w:spacing w:after="120" w:before="200"/>
      </w:pPr>
      <w:r>
        <w:rPr>
          <w:b/>
          <w:bCs/>
          <w:color w:val="132018"/>
          <w:sz w:val="32"/>
          <w:szCs w:val="32"/>
        </w:rPr>
        <w:t xml:space="preserve">Audit Details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Site / Facility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Audit Date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Lead Auditor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Areas / Processes Audited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00"/>
      </w:pPr>
      <w:r>
        <w:rPr>
          <w:b/>
          <w:bCs/>
          <w:color w:val="132018"/>
          <w:sz w:val="32"/>
          <w:szCs w:val="32"/>
        </w:rPr>
        <w:t xml:space="preserve">Step 1 — Annual Audit Programme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Audit programme covers every FSMS process at a defined frequency (Clause 9.2.2)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High-risk areas (CCPs, allergens, supplier verification) audited more frequently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12-month audit calendar exists with an owner assigned to each slot</w:t>
      </w:r>
    </w:p>
    <w:p>
      <w:pPr>
        <w:pStyle w:val="Heading1"/>
        <w:spacing w:after="120" w:before="200"/>
      </w:pPr>
      <w:r>
        <w:rPr>
          <w:b/>
          <w:bCs/>
          <w:color w:val="132018"/>
          <w:sz w:val="32"/>
          <w:szCs w:val="32"/>
        </w:rPr>
        <w:t xml:space="preserve">Step 2 — Auditor Independence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Auditors are independent of the area they are auditing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No auditor is reviewing their own department or process</w:t>
      </w:r>
    </w:p>
    <w:p>
      <w:pPr>
        <w:pStyle w:val="Heading1"/>
        <w:spacing w:after="120" w:before="200"/>
      </w:pPr>
      <w:r>
        <w:rPr>
          <w:b/>
          <w:bCs/>
          <w:color w:val="132018"/>
          <w:sz w:val="32"/>
          <w:szCs w:val="32"/>
        </w:rPr>
        <w:t xml:space="preserve">Step 3 — Audit Plan &amp; Checklist Prepared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Written audit plan identifies clauses/procedures being audited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Expected records list prepared (calibration logs, CCP monitoring sheets, training records)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Interview list and physical walk-through route confirmed in advance</w:t>
      </w:r>
    </w:p>
    <w:p>
      <w:pPr>
        <w:pStyle w:val="Heading1"/>
        <w:spacing w:after="120" w:before="200"/>
      </w:pPr>
      <w:r>
        <w:rPr>
          <w:b/>
          <w:bCs/>
          <w:color w:val="132018"/>
          <w:sz w:val="32"/>
          <w:szCs w:val="32"/>
        </w:rPr>
        <w:t xml:space="preserve">Step 4 — CCP / OPRP Verification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Sample of CCP monitoring records traced against HACCP plan critical limits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Corrective actions confirmed as taken AND recorded for every deviation found</w:t>
      </w:r>
    </w:p>
    <w:p>
      <w:pPr>
        <w:pStyle w:val="Heading1"/>
        <w:spacing w:after="120" w:before="200"/>
      </w:pPr>
      <w:r>
        <w:rPr>
          <w:b/>
          <w:bCs/>
          <w:color w:val="132018"/>
          <w:sz w:val="32"/>
          <w:szCs w:val="32"/>
        </w:rPr>
        <w:t xml:space="preserve">Step 5 — Document Control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Version on the shop floor matches the version in document control system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Obsolete copies removed or clearly marked as superseded</w:t>
      </w:r>
    </w:p>
    <w:p>
      <w:pPr>
        <w:pStyle w:val="Heading1"/>
        <w:spacing w:after="120" w:before="200"/>
      </w:pPr>
      <w:r>
        <w:rPr>
          <w:b/>
          <w:bCs/>
          <w:color w:val="132018"/>
          <w:sz w:val="32"/>
          <w:szCs w:val="32"/>
        </w:rPr>
        <w:t xml:space="preserve">Step 6 — Staff Interviews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Line staff can explain CCP deviation response in their own words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Answers given match the documented procedure</w:t>
      </w:r>
    </w:p>
    <w:p>
      <w:pPr>
        <w:pStyle w:val="Heading1"/>
        <w:spacing w:after="120" w:before="200"/>
      </w:pPr>
      <w:r>
        <w:rPr>
          <w:b/>
          <w:bCs/>
          <w:color w:val="132018"/>
          <w:sz w:val="32"/>
          <w:szCs w:val="32"/>
        </w:rPr>
        <w:t xml:space="preserve">Step 7 — Findings Recorded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Every finding categorised: Non-Conformity / Observation / Opportunity for Improvement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Findings recorded immediately, not reconstructed from memory afterward</w:t>
      </w:r>
    </w:p>
    <w:p>
      <w:pPr>
        <w:pStyle w:val="Heading1"/>
        <w:spacing w:after="120" w:before="200"/>
      </w:pPr>
      <w:r>
        <w:rPr>
          <w:b/>
          <w:bCs/>
          <w:color w:val="132018"/>
          <w:sz w:val="32"/>
          <w:szCs w:val="32"/>
        </w:rPr>
        <w:t xml:space="preserve">Step 8 — CAPA Follow-Through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Every non-conformity has a documented root cause analysis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Corrective actions tracked through to verified closure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No open CAPA item older than the agreed closure timeframe</w:t>
      </w:r>
    </w:p>
    <w:p>
      <w:pPr>
        <w:pStyle w:val="Heading1"/>
        <w:spacing w:after="120" w:before="200"/>
      </w:pPr>
      <w:r>
        <w:rPr>
          <w:b/>
          <w:bCs/>
          <w:color w:val="132018"/>
          <w:sz w:val="32"/>
          <w:szCs w:val="32"/>
        </w:rPr>
        <w:t xml:space="preserve">Step 9 — Management Review Input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Audit programme completion rate reported to top management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Number and severity of findings included in management review</w:t>
      </w:r>
    </w:p>
    <w:p>
      <w:pPr>
        <w:spacing w:after="90"/>
        <w:ind w:left="2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Open CAPA status presented as a management review input (Clause 9.3)</w:t>
      </w:r>
    </w:p>
    <w:p>
      <w:pPr>
        <w:pBdr>
          <w:top w:val="single" w:color="CCCCCC" w:sz="4"/>
        </w:pBdr>
        <w:spacing w:before="400"/>
      </w:pPr>
    </w:p>
    <w:p>
      <w:pPr>
        <w:spacing w:before="200"/>
        <w:jc w:val="center"/>
      </w:pPr>
      <w:r>
        <w:rPr>
          <w:i/>
          <w:iCs/>
          <w:sz w:val="20"/>
          <w:szCs w:val="20"/>
        </w:rPr>
        <w:t xml:space="preserve">Need the full internal audit procedure, report templates, and a CAPA tracker?</w:t>
      </w:r>
    </w:p>
    <w:p>
      <w:pPr>
        <w:jc w:val="center"/>
      </w:pPr>
      <w:r>
        <w:rPr>
          <w:b/>
          <w:bCs/>
          <w:color w:val="D8622E"/>
          <w:sz w:val="20"/>
          <w:szCs w:val="20"/>
        </w:rPr>
        <w:t xml:space="preserve">See the ISO 22000 Document Pack at standardsunlimited.com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2026-07-05T10:51:54.434Z</dcterms:created>
  <dcterms:modified xsi:type="dcterms:W3CDTF">2026-07-05T10:51:54.434Z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