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hd w:fill="1A4F8A" w:val="clear"/>
        <w:spacing w:after="0" w:before="0"/>
      </w:pPr>
      <w:r>
        <w:rPr>
          <w:rFonts w:ascii="Arial" w:cs="Arial" w:eastAsia="Arial" w:hAnsi="Arial"/>
          <w:b/>
          <w:bCs/>
          <w:color w:val="FFFFFF"/>
          <w:sz w:val="18"/>
          <w:szCs w:val="18"/>
        </w:rPr>
        <w:t xml:space="preserve">  STANDARDS UNLIMITED  |  standardsunlimited.com</w:t>
      </w:r>
    </w:p>
    <w:p>
      <w:pPr>
        <w:spacing w:after="0" w:before="160"/>
      </w:pPr>
    </w:p>
    <w:p>
      <w:pPr>
        <w:spacing w:after="40" w:before="0"/>
      </w:pPr>
      <w:r>
        <w:rPr>
          <w:rFonts w:ascii="Arial" w:cs="Arial" w:eastAsia="Arial" w:hAnsi="Arial"/>
          <w:b/>
          <w:bCs/>
          <w:color w:val="1A4F8A"/>
          <w:sz w:val="44"/>
          <w:szCs w:val="44"/>
        </w:rPr>
        <w:t xml:space="preserve">ISO 9001:2026 Preparation Checklist</w:t>
      </w:r>
    </w:p>
    <w:p>
      <w:pPr>
        <w:pBdr>
          <w:bottom w:val="single" w:color="1A4F8A" w:sz="12" w:space="6"/>
        </w:pBdr>
        <w:spacing w:after="0" w:before="0"/>
      </w:pPr>
      <w:r>
        <w:rPr>
          <w:rFonts w:ascii="Arial" w:cs="Arial" w:eastAsia="Arial" w:hAnsi="Arial"/>
          <w:color w:val="444444"/>
          <w:sz w:val="20"/>
          <w:szCs w:val="20"/>
        </w:rPr>
        <w:t xml:space="preserve">ISO 9001:2026 (FDIS confirmed — publication Sept 2026)  |  Transition deadline: September 2029  |  35 checklist items</w:t>
      </w:r>
    </w:p>
    <w:p>
      <w:pPr>
        <w:spacing w:after="0" w:before="120"/>
      </w:pPr>
    </w:p>
    <w:p>
      <w:pPr>
        <w:shd w:fill="E8F0FA" w:val="clear"/>
        <w:spacing w:after="60" w:before="0"/>
      </w:pPr>
      <w:r>
        <w:rPr>
          <w:rFonts w:ascii="Arial" w:cs="Arial" w:eastAsia="Arial" w:hAnsi="Arial"/>
          <w:b/>
          <w:bCs/>
          <w:color w:val="1A4F8A"/>
          <w:sz w:val="18"/>
          <w:szCs w:val="18"/>
        </w:rPr>
        <w:t xml:space="preserve">  HOW TO USE THIS CHECKLIST   </w:t>
      </w:r>
      <w:r>
        <w:rPr>
          <w:rFonts w:ascii="Arial" w:cs="Arial" w:eastAsia="Arial" w:hAnsi="Arial"/>
          <w:color w:val="1A1A1A"/>
          <w:sz w:val="18"/>
          <w:szCs w:val="18"/>
        </w:rPr>
        <w:t xml:space="preserve">Review each item against your current management system. Mark: </w:t>
      </w:r>
      <w:r>
        <w:rPr>
          <w:rFonts w:ascii="Arial" w:cs="Arial" w:eastAsia="Arial" w:hAnsi="Arial"/>
          <w:b/>
          <w:bCs/>
          <w:color w:val="1A6644"/>
          <w:sz w:val="18"/>
          <w:szCs w:val="18"/>
        </w:rPr>
        <w:t xml:space="preserve">✅ Compliant  </w:t>
      </w:r>
      <w:r>
        <w:rPr>
          <w:rFonts w:ascii="Arial" w:cs="Arial" w:eastAsia="Arial" w:hAnsi="Arial"/>
          <w:b/>
          <w:bCs/>
          <w:color w:val="B8860B"/>
          <w:sz w:val="18"/>
          <w:szCs w:val="18"/>
        </w:rPr>
        <w:t xml:space="preserve">⚠ Partial  </w:t>
      </w:r>
      <w:r>
        <w:rPr>
          <w:rFonts w:ascii="Arial" w:cs="Arial" w:eastAsia="Arial" w:hAnsi="Arial"/>
          <w:b/>
          <w:bCs/>
          <w:color w:val="C0392B"/>
          <w:sz w:val="18"/>
          <w:szCs w:val="18"/>
        </w:rPr>
        <w:t xml:space="preserve">❌ Gap Identified</w:t>
      </w:r>
    </w:p>
    <w:p>
      <w:pPr>
        <w:spacing w:after="0" w:before="160"/>
      </w:pPr>
    </w:p>
    <w:p>
      <w:pPr>
        <w:pBdr>
          <w:bottom w:val="single" w:color="1A4F8A" w:sz="8" w:space="4"/>
        </w:pBdr>
        <w:spacing w:after="80" w:before="280"/>
      </w:pPr>
      <w:r>
        <w:rPr>
          <w:rFonts w:ascii="Arial" w:cs="Arial" w:eastAsia="Arial" w:hAnsi="Arial"/>
          <w:b/>
          <w:bCs/>
          <w:color w:val="1A4F8A"/>
          <w:sz w:val="26"/>
          <w:szCs w:val="26"/>
        </w:rPr>
        <w:t xml:space="preserve">SECTION 1 — QUALITY CULTURE &amp; ETHICAL BEHAVIOUR (Clauses 5.1 &amp; 7.3)</w:t>
      </w:r>
    </w:p>
    <w:p>
      <w:pPr>
        <w:spacing w:after="0" w:before="60"/>
      </w:pPr>
    </w:p>
    <w:tbl>
      <w:tblPr>
        <w:tblW w:type="dxa" w:w="95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600"/>
        <w:gridCol w:w="6200"/>
        <w:gridCol w:w="2160"/>
      </w:tblGrid>
      <w:tr>
        <w:tc>
          <w:tcPr>
            <w:tcW w:type="dxa" w:w="600"/>
            <w:tcBorders>
              <w:top w:val="single" w:color="1A4F8A" w:sz="1"/>
              <w:left w:val="single" w:color="1A4F8A" w:sz="1"/>
              <w:bottom w:val="single" w:color="1A4F8A" w:sz="1"/>
              <w:right w:val="single" w:color="1A4F8A" w:sz="1"/>
            </w:tcBorders>
            <w:shd w:fill="1A4F8A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#</w:t>
            </w:r>
          </w:p>
        </w:tc>
        <w:tc>
          <w:tcPr>
            <w:tcW w:type="dxa" w:w="600"/>
            <w:tcBorders>
              <w:top w:val="single" w:color="1A4F8A" w:sz="1"/>
              <w:left w:val="single" w:color="1A4F8A" w:sz="1"/>
              <w:bottom w:val="single" w:color="1A4F8A" w:sz="1"/>
              <w:right w:val="single" w:color="1A4F8A" w:sz="1"/>
            </w:tcBorders>
            <w:shd w:fill="1A4F8A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✓</w:t>
            </w:r>
          </w:p>
        </w:tc>
        <w:tc>
          <w:tcPr>
            <w:tcW w:type="dxa" w:w="6200"/>
            <w:tcBorders>
              <w:top w:val="single" w:color="1A4F8A" w:sz="1"/>
              <w:left w:val="single" w:color="1A4F8A" w:sz="1"/>
              <w:bottom w:val="single" w:color="1A4F8A" w:sz="1"/>
              <w:right w:val="single" w:color="1A4F8A" w:sz="1"/>
            </w:tcBorders>
            <w:shd w:fill="1A4F8A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Checklist Item</w:t>
            </w:r>
          </w:p>
        </w:tc>
        <w:tc>
          <w:tcPr>
            <w:tcW w:type="dxa" w:w="2160"/>
            <w:tcBorders>
              <w:top w:val="single" w:color="1A4F8A" w:sz="1"/>
              <w:left w:val="single" w:color="1A4F8A" w:sz="1"/>
              <w:bottom w:val="single" w:color="1A4F8A" w:sz="1"/>
              <w:right w:val="single" w:color="1A4F8A" w:sz="1"/>
            </w:tcBorders>
            <w:shd w:fill="1A4F8A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Notes / Evidence</w:t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1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Has top management formally defined what 'quality culture' means within the organisation?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2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Is there documented evidence of top management actively promoting quality culture — beyond a signed quality policy?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3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Are there verifiable examples of leadership behaviours that demonstrate quality commitment?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4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Is ethical behaviour formally defined and communicated to all relevant personnel?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5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Are employees aware of ethical behaviour expectations relevant to their QMS role? (Clause 7.3)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6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Is quality culture included in employee induction and onboarding content?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7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Does the internal audit programme include checks for quality culture evidence?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8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Does the management review agenda include a quality culture performance discussion?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</w:tbl>
    <w:p>
      <w:pPr>
        <w:spacing w:after="0" w:before="120"/>
      </w:pPr>
    </w:p>
    <w:p>
      <w:pPr>
        <w:pBdr>
          <w:bottom w:val="single" w:color="1A4F8A" w:sz="8" w:space="4"/>
        </w:pBdr>
        <w:spacing w:after="80" w:before="280"/>
      </w:pPr>
      <w:r>
        <w:rPr>
          <w:rFonts w:ascii="Arial" w:cs="Arial" w:eastAsia="Arial" w:hAnsi="Arial"/>
          <w:b/>
          <w:bCs/>
          <w:color w:val="1A4F8A"/>
          <w:sz w:val="26"/>
          <w:szCs w:val="26"/>
        </w:rPr>
        <w:t xml:space="preserve">SECTION 2 — CLIMATE CHANGE IN ORGANISATIONAL CONTEXT (Clause 4.1)</w:t>
      </w:r>
    </w:p>
    <w:p>
      <w:pPr>
        <w:spacing w:after="0" w:before="60"/>
      </w:pPr>
    </w:p>
    <w:tbl>
      <w:tblPr>
        <w:tblW w:type="dxa" w:w="95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600"/>
        <w:gridCol w:w="6200"/>
        <w:gridCol w:w="2160"/>
      </w:tblGrid>
      <w:tr>
        <w:tc>
          <w:tcPr>
            <w:tcW w:type="dxa" w:w="600"/>
            <w:tcBorders>
              <w:top w:val="single" w:color="1A4F8A" w:sz="1"/>
              <w:left w:val="single" w:color="1A4F8A" w:sz="1"/>
              <w:bottom w:val="single" w:color="1A4F8A" w:sz="1"/>
              <w:right w:val="single" w:color="1A4F8A" w:sz="1"/>
            </w:tcBorders>
            <w:shd w:fill="1A4F8A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#</w:t>
            </w:r>
          </w:p>
        </w:tc>
        <w:tc>
          <w:tcPr>
            <w:tcW w:type="dxa" w:w="600"/>
            <w:tcBorders>
              <w:top w:val="single" w:color="1A4F8A" w:sz="1"/>
              <w:left w:val="single" w:color="1A4F8A" w:sz="1"/>
              <w:bottom w:val="single" w:color="1A4F8A" w:sz="1"/>
              <w:right w:val="single" w:color="1A4F8A" w:sz="1"/>
            </w:tcBorders>
            <w:shd w:fill="1A4F8A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✓</w:t>
            </w:r>
          </w:p>
        </w:tc>
        <w:tc>
          <w:tcPr>
            <w:tcW w:type="dxa" w:w="6200"/>
            <w:tcBorders>
              <w:top w:val="single" w:color="1A4F8A" w:sz="1"/>
              <w:left w:val="single" w:color="1A4F8A" w:sz="1"/>
              <w:bottom w:val="single" w:color="1A4F8A" w:sz="1"/>
              <w:right w:val="single" w:color="1A4F8A" w:sz="1"/>
            </w:tcBorders>
            <w:shd w:fill="1A4F8A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Checklist Item</w:t>
            </w:r>
          </w:p>
        </w:tc>
        <w:tc>
          <w:tcPr>
            <w:tcW w:type="dxa" w:w="2160"/>
            <w:tcBorders>
              <w:top w:val="single" w:color="1A4F8A" w:sz="1"/>
              <w:left w:val="single" w:color="1A4F8A" w:sz="1"/>
              <w:bottom w:val="single" w:color="1A4F8A" w:sz="1"/>
              <w:right w:val="single" w:color="1A4F8A" w:sz="1"/>
            </w:tcBorders>
            <w:shd w:fill="1A4F8A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Notes / Evidence</w:t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9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Has the organisation formally assessed whether climate change is a relevant external issue for the QMS?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10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Is the climate change context assessment documented in Clause 4.1 records?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11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Have key interested parties been reviewed for climate-related requirements affecting the QMS? (Clause 4.2)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12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Has the ISO 9001:2015/Amd 1:2024 climate change amendment already been implemented?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13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Are climate-related quality risks (e.g. supply chain disruption, material availability) included in the risk register?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</w:tbl>
    <w:p>
      <w:pPr>
        <w:spacing w:after="0" w:before="120"/>
      </w:pPr>
    </w:p>
    <w:p>
      <w:pPr>
        <w:pBdr>
          <w:bottom w:val="single" w:color="1A4F8A" w:sz="8" w:space="4"/>
        </w:pBdr>
        <w:spacing w:after="80" w:before="280"/>
      </w:pPr>
      <w:r>
        <w:rPr>
          <w:rFonts w:ascii="Arial" w:cs="Arial" w:eastAsia="Arial" w:hAnsi="Arial"/>
          <w:b/>
          <w:bCs/>
          <w:color w:val="1A4F8A"/>
          <w:sz w:val="26"/>
          <w:szCs w:val="26"/>
        </w:rPr>
        <w:t xml:space="preserve">SECTION 3 — RISKS &amp; OPPORTUNITIES — FORMALLY SEPARATED (Clause 6.1)</w:t>
      </w:r>
    </w:p>
    <w:p>
      <w:pPr>
        <w:spacing w:after="0" w:before="60"/>
      </w:pPr>
    </w:p>
    <w:tbl>
      <w:tblPr>
        <w:tblW w:type="dxa" w:w="95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600"/>
        <w:gridCol w:w="6200"/>
        <w:gridCol w:w="2160"/>
      </w:tblGrid>
      <w:tr>
        <w:tc>
          <w:tcPr>
            <w:tcW w:type="dxa" w:w="600"/>
            <w:tcBorders>
              <w:top w:val="single" w:color="1A4F8A" w:sz="1"/>
              <w:left w:val="single" w:color="1A4F8A" w:sz="1"/>
              <w:bottom w:val="single" w:color="1A4F8A" w:sz="1"/>
              <w:right w:val="single" w:color="1A4F8A" w:sz="1"/>
            </w:tcBorders>
            <w:shd w:fill="1A4F8A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#</w:t>
            </w:r>
          </w:p>
        </w:tc>
        <w:tc>
          <w:tcPr>
            <w:tcW w:type="dxa" w:w="600"/>
            <w:tcBorders>
              <w:top w:val="single" w:color="1A4F8A" w:sz="1"/>
              <w:left w:val="single" w:color="1A4F8A" w:sz="1"/>
              <w:bottom w:val="single" w:color="1A4F8A" w:sz="1"/>
              <w:right w:val="single" w:color="1A4F8A" w:sz="1"/>
            </w:tcBorders>
            <w:shd w:fill="1A4F8A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✓</w:t>
            </w:r>
          </w:p>
        </w:tc>
        <w:tc>
          <w:tcPr>
            <w:tcW w:type="dxa" w:w="6200"/>
            <w:tcBorders>
              <w:top w:val="single" w:color="1A4F8A" w:sz="1"/>
              <w:left w:val="single" w:color="1A4F8A" w:sz="1"/>
              <w:bottom w:val="single" w:color="1A4F8A" w:sz="1"/>
              <w:right w:val="single" w:color="1A4F8A" w:sz="1"/>
            </w:tcBorders>
            <w:shd w:fill="1A4F8A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Checklist Item</w:t>
            </w:r>
          </w:p>
        </w:tc>
        <w:tc>
          <w:tcPr>
            <w:tcW w:type="dxa" w:w="2160"/>
            <w:tcBorders>
              <w:top w:val="single" w:color="1A4F8A" w:sz="1"/>
              <w:left w:val="single" w:color="1A4F8A" w:sz="1"/>
              <w:bottom w:val="single" w:color="1A4F8A" w:sz="1"/>
              <w:right w:val="single" w:color="1A4F8A" w:sz="1"/>
            </w:tcBorders>
            <w:shd w:fill="1A4F8A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Notes / Evidence</w:t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14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Does the current risk and opportunity register clearly separate risks from opportunities?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15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Is there a documented process for identifying quality risks independently of opportunity identification?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16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Is there a documented process for identifying and pursuing quality opportunities — not just risk mitigation?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17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Are both risk and opportunity registers reviewed at management review?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18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Are actions to address risks tracked separately from actions to pursue opportunities?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19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Are risk and opportunity outcomes evaluated for effectiveness in the management review?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20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Does the internal audit programme verify risk management and opportunity management independently?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</w:tbl>
    <w:p>
      <w:pPr>
        <w:spacing w:after="0" w:before="120"/>
      </w:pPr>
    </w:p>
    <w:p>
      <w:pPr>
        <w:pBdr>
          <w:bottom w:val="single" w:color="1A4F8A" w:sz="8" w:space="4"/>
        </w:pBdr>
        <w:spacing w:after="80" w:before="280"/>
      </w:pPr>
      <w:r>
        <w:rPr>
          <w:rFonts w:ascii="Arial" w:cs="Arial" w:eastAsia="Arial" w:hAnsi="Arial"/>
          <w:b/>
          <w:bCs/>
          <w:color w:val="1A4F8A"/>
          <w:sz w:val="26"/>
          <w:szCs w:val="26"/>
        </w:rPr>
        <w:t xml:space="preserve">SECTION 4 — CHANGE MANAGEMENT REQUIREMENTS (Clause 6.3)</w:t>
      </w:r>
    </w:p>
    <w:p>
      <w:pPr>
        <w:spacing w:after="0" w:before="60"/>
      </w:pPr>
    </w:p>
    <w:tbl>
      <w:tblPr>
        <w:tblW w:type="dxa" w:w="95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600"/>
        <w:gridCol w:w="6200"/>
        <w:gridCol w:w="2160"/>
      </w:tblGrid>
      <w:tr>
        <w:tc>
          <w:tcPr>
            <w:tcW w:type="dxa" w:w="600"/>
            <w:tcBorders>
              <w:top w:val="single" w:color="1A4F8A" w:sz="1"/>
              <w:left w:val="single" w:color="1A4F8A" w:sz="1"/>
              <w:bottom w:val="single" w:color="1A4F8A" w:sz="1"/>
              <w:right w:val="single" w:color="1A4F8A" w:sz="1"/>
            </w:tcBorders>
            <w:shd w:fill="1A4F8A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#</w:t>
            </w:r>
          </w:p>
        </w:tc>
        <w:tc>
          <w:tcPr>
            <w:tcW w:type="dxa" w:w="600"/>
            <w:tcBorders>
              <w:top w:val="single" w:color="1A4F8A" w:sz="1"/>
              <w:left w:val="single" w:color="1A4F8A" w:sz="1"/>
              <w:bottom w:val="single" w:color="1A4F8A" w:sz="1"/>
              <w:right w:val="single" w:color="1A4F8A" w:sz="1"/>
            </w:tcBorders>
            <w:shd w:fill="1A4F8A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✓</w:t>
            </w:r>
          </w:p>
        </w:tc>
        <w:tc>
          <w:tcPr>
            <w:tcW w:type="dxa" w:w="6200"/>
            <w:tcBorders>
              <w:top w:val="single" w:color="1A4F8A" w:sz="1"/>
              <w:left w:val="single" w:color="1A4F8A" w:sz="1"/>
              <w:bottom w:val="single" w:color="1A4F8A" w:sz="1"/>
              <w:right w:val="single" w:color="1A4F8A" w:sz="1"/>
            </w:tcBorders>
            <w:shd w:fill="1A4F8A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Checklist Item</w:t>
            </w:r>
          </w:p>
        </w:tc>
        <w:tc>
          <w:tcPr>
            <w:tcW w:type="dxa" w:w="2160"/>
            <w:tcBorders>
              <w:top w:val="single" w:color="1A4F8A" w:sz="1"/>
              <w:left w:val="single" w:color="1A4F8A" w:sz="1"/>
              <w:bottom w:val="single" w:color="1A4F8A" w:sz="1"/>
              <w:right w:val="single" w:color="1A4F8A" w:sz="1"/>
            </w:tcBorders>
            <w:shd w:fill="1A4F8A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Notes / Evidence</w:t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21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Does a documented procedure for managing QMS changes exist?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22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Does the procedure define how the effectiveness of QMS changes will be verified and evaluated?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23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Does the procedure define how results of implemented changes will be formally reviewed?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24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Is there a process for identifying and addressing unintended consequences of QMS changes?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25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Are change management records maintained as documented information?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26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Is the QMS change management procedure integrated with ISO 14001:2026 and ISO 45001:2027 procedures?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</w:tbl>
    <w:p>
      <w:pPr>
        <w:spacing w:after="0" w:before="120"/>
      </w:pPr>
    </w:p>
    <w:p>
      <w:pPr>
        <w:pBdr>
          <w:bottom w:val="single" w:color="1A4F8A" w:sz="8" w:space="4"/>
        </w:pBdr>
        <w:spacing w:after="80" w:before="280"/>
      </w:pPr>
      <w:r>
        <w:rPr>
          <w:rFonts w:ascii="Arial" w:cs="Arial" w:eastAsia="Arial" w:hAnsi="Arial"/>
          <w:b/>
          <w:bCs/>
          <w:color w:val="1A4F8A"/>
          <w:sz w:val="26"/>
          <w:szCs w:val="26"/>
        </w:rPr>
        <w:t xml:space="preserve">SECTION 5 — HARMONIZED STRUCTURE &amp; IMS INTEGRATION</w:t>
      </w:r>
    </w:p>
    <w:p>
      <w:pPr>
        <w:spacing w:after="0" w:before="60"/>
      </w:pPr>
    </w:p>
    <w:tbl>
      <w:tblPr>
        <w:tblW w:type="dxa" w:w="95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600"/>
        <w:gridCol w:w="6200"/>
        <w:gridCol w:w="2160"/>
      </w:tblGrid>
      <w:tr>
        <w:tc>
          <w:tcPr>
            <w:tcW w:type="dxa" w:w="600"/>
            <w:tcBorders>
              <w:top w:val="single" w:color="1A4F8A" w:sz="1"/>
              <w:left w:val="single" w:color="1A4F8A" w:sz="1"/>
              <w:bottom w:val="single" w:color="1A4F8A" w:sz="1"/>
              <w:right w:val="single" w:color="1A4F8A" w:sz="1"/>
            </w:tcBorders>
            <w:shd w:fill="1A4F8A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#</w:t>
            </w:r>
          </w:p>
        </w:tc>
        <w:tc>
          <w:tcPr>
            <w:tcW w:type="dxa" w:w="600"/>
            <w:tcBorders>
              <w:top w:val="single" w:color="1A4F8A" w:sz="1"/>
              <w:left w:val="single" w:color="1A4F8A" w:sz="1"/>
              <w:bottom w:val="single" w:color="1A4F8A" w:sz="1"/>
              <w:right w:val="single" w:color="1A4F8A" w:sz="1"/>
            </w:tcBorders>
            <w:shd w:fill="1A4F8A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✓</w:t>
            </w:r>
          </w:p>
        </w:tc>
        <w:tc>
          <w:tcPr>
            <w:tcW w:type="dxa" w:w="6200"/>
            <w:tcBorders>
              <w:top w:val="single" w:color="1A4F8A" w:sz="1"/>
              <w:left w:val="single" w:color="1A4F8A" w:sz="1"/>
              <w:bottom w:val="single" w:color="1A4F8A" w:sz="1"/>
              <w:right w:val="single" w:color="1A4F8A" w:sz="1"/>
            </w:tcBorders>
            <w:shd w:fill="1A4F8A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Checklist Item</w:t>
            </w:r>
          </w:p>
        </w:tc>
        <w:tc>
          <w:tcPr>
            <w:tcW w:type="dxa" w:w="2160"/>
            <w:tcBorders>
              <w:top w:val="single" w:color="1A4F8A" w:sz="1"/>
              <w:left w:val="single" w:color="1A4F8A" w:sz="1"/>
              <w:bottom w:val="single" w:color="1A4F8A" w:sz="1"/>
              <w:right w:val="single" w:color="1A4F8A" w:sz="1"/>
            </w:tcBorders>
            <w:shd w:fill="1A4F8A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Notes / Evidence</w:t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27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Has the clause structure mapping for ISO 9001:2026 been reviewed against current QMS documentation?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28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If an IMS is in place, have shared procedures been identified covering ISO 9001:2026, ISO 14001:2026, and ISO 45001:2027?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29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Has the internal audit programme been reviewed for alignment with the updated clause structure?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30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Has a plan been developed to update QMS document references after ISO 9001:2026 publication?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31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Has the management review agenda been reviewed against ISO 9001:2026 input and output requirements?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</w:tbl>
    <w:p>
      <w:pPr>
        <w:spacing w:after="0" w:before="120"/>
      </w:pPr>
    </w:p>
    <w:p>
      <w:pPr>
        <w:pBdr>
          <w:bottom w:val="single" w:color="1A4F8A" w:sz="8" w:space="4"/>
        </w:pBdr>
        <w:spacing w:after="80" w:before="280"/>
      </w:pPr>
      <w:r>
        <w:rPr>
          <w:rFonts w:ascii="Arial" w:cs="Arial" w:eastAsia="Arial" w:hAnsi="Arial"/>
          <w:b/>
          <w:bCs/>
          <w:color w:val="1A4F8A"/>
          <w:sz w:val="26"/>
          <w:szCs w:val="26"/>
        </w:rPr>
        <w:t xml:space="preserve">SECTION 6 — TRANSITION PLANNING</w:t>
      </w:r>
    </w:p>
    <w:p>
      <w:pPr>
        <w:spacing w:after="0" w:before="60"/>
      </w:pPr>
    </w:p>
    <w:tbl>
      <w:tblPr>
        <w:tblW w:type="dxa" w:w="95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600"/>
        <w:gridCol w:w="6200"/>
        <w:gridCol w:w="2160"/>
      </w:tblGrid>
      <w:tr>
        <w:tc>
          <w:tcPr>
            <w:tcW w:type="dxa" w:w="600"/>
            <w:tcBorders>
              <w:top w:val="single" w:color="1A4F8A" w:sz="1"/>
              <w:left w:val="single" w:color="1A4F8A" w:sz="1"/>
              <w:bottom w:val="single" w:color="1A4F8A" w:sz="1"/>
              <w:right w:val="single" w:color="1A4F8A" w:sz="1"/>
            </w:tcBorders>
            <w:shd w:fill="1A4F8A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#</w:t>
            </w:r>
          </w:p>
        </w:tc>
        <w:tc>
          <w:tcPr>
            <w:tcW w:type="dxa" w:w="600"/>
            <w:tcBorders>
              <w:top w:val="single" w:color="1A4F8A" w:sz="1"/>
              <w:left w:val="single" w:color="1A4F8A" w:sz="1"/>
              <w:bottom w:val="single" w:color="1A4F8A" w:sz="1"/>
              <w:right w:val="single" w:color="1A4F8A" w:sz="1"/>
            </w:tcBorders>
            <w:shd w:fill="1A4F8A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✓</w:t>
            </w:r>
          </w:p>
        </w:tc>
        <w:tc>
          <w:tcPr>
            <w:tcW w:type="dxa" w:w="6200"/>
            <w:tcBorders>
              <w:top w:val="single" w:color="1A4F8A" w:sz="1"/>
              <w:left w:val="single" w:color="1A4F8A" w:sz="1"/>
              <w:bottom w:val="single" w:color="1A4F8A" w:sz="1"/>
              <w:right w:val="single" w:color="1A4F8A" w:sz="1"/>
            </w:tcBorders>
            <w:shd w:fill="1A4F8A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Checklist Item</w:t>
            </w:r>
          </w:p>
        </w:tc>
        <w:tc>
          <w:tcPr>
            <w:tcW w:type="dxa" w:w="2160"/>
            <w:tcBorders>
              <w:top w:val="single" w:color="1A4F8A" w:sz="1"/>
              <w:left w:val="single" w:color="1A4F8A" w:sz="1"/>
              <w:bottom w:val="single" w:color="1A4F8A" w:sz="1"/>
              <w:right w:val="single" w:color="1A4F8A" w:sz="1"/>
            </w:tcBorders>
            <w:shd w:fill="1A4F8A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Notes / Evidence</w:t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32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Has the certification body been contacted for ISO 9001:2026 transition guidance?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33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Has a target transition audit window been identified, aligned to the recertification cycle?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34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Is there an internal transition project plan with assigned responsibilities and deadlines?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35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Are relevant QMS personnel receiving training on ISO 9001:2026 key changes?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</w:tbl>
    <w:p>
      <w:pPr>
        <w:spacing w:after="0" w:before="120"/>
      </w:pPr>
    </w:p>
    <w:p>
      <w:pPr>
        <w:pBdr>
          <w:bottom w:val="single" w:color="1A4F8A" w:sz="8" w:space="4"/>
        </w:pBdr>
        <w:spacing w:after="80" w:before="280"/>
      </w:pPr>
      <w:r>
        <w:rPr>
          <w:rFonts w:ascii="Arial" w:cs="Arial" w:eastAsia="Arial" w:hAnsi="Arial"/>
          <w:b/>
          <w:bCs/>
          <w:color w:val="1A4F8A"/>
          <w:sz w:val="26"/>
          <w:szCs w:val="26"/>
        </w:rPr>
        <w:t xml:space="preserve">GAP ASSESSMENT SUMMARY</w:t>
      </w:r>
    </w:p>
    <w:p>
      <w:pPr>
        <w:spacing w:after="0" w:before="80"/>
      </w:pPr>
    </w:p>
    <w:tbl>
      <w:tblPr>
        <w:tblW w:type="dxa" w:w="95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86"/>
        <w:gridCol w:w="3186"/>
        <w:gridCol w:w="3186"/>
      </w:tblGrid>
      <w:tr>
        <w:tc>
          <w:tcPr>
            <w:tcW w:type="dxa" w:w="3186"/>
            <w:tcBorders>
              <w:top w:val="single" w:color="1A4F8A" w:sz="1"/>
              <w:left w:val="single" w:color="1A4F8A" w:sz="1"/>
              <w:bottom w:val="single" w:color="1A4F8A" w:sz="1"/>
              <w:right w:val="single" w:color="1A4F8A" w:sz="1"/>
            </w:tcBorders>
            <w:shd w:fill="1A4F8A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✅  Compliant</w:t>
            </w:r>
          </w:p>
        </w:tc>
        <w:tc>
          <w:tcPr>
            <w:tcW w:type="dxa" w:w="3186"/>
            <w:tcBorders>
              <w:top w:val="single" w:color="1A4F8A" w:sz="1"/>
              <w:left w:val="single" w:color="1A4F8A" w:sz="1"/>
              <w:bottom w:val="single" w:color="1A4F8A" w:sz="1"/>
              <w:right w:val="single" w:color="1A4F8A" w:sz="1"/>
            </w:tcBorders>
            <w:shd w:fill="1A4F8A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⚠  Partial</w:t>
            </w:r>
          </w:p>
        </w:tc>
        <w:tc>
          <w:tcPr>
            <w:tcW w:type="dxa" w:w="3186"/>
            <w:tcBorders>
              <w:top w:val="single" w:color="1A4F8A" w:sz="1"/>
              <w:left w:val="single" w:color="1A4F8A" w:sz="1"/>
              <w:bottom w:val="single" w:color="1A4F8A" w:sz="1"/>
              <w:right w:val="single" w:color="1A4F8A" w:sz="1"/>
            </w:tcBorders>
            <w:shd w:fill="1A4F8A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❌  Gap</w:t>
            </w:r>
          </w:p>
        </w:tc>
      </w:tr>
      <w:tr>
        <w:tc>
          <w:tcPr>
            <w:tcW w:type="dxa" w:w="3186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20"/>
              <w:bottom w:type="dxa" w:w="10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/>
            </w:r>
          </w:p>
        </w:tc>
        <w:tc>
          <w:tcPr>
            <w:tcW w:type="dxa" w:w="3186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20"/>
              <w:bottom w:type="dxa" w:w="10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/>
            </w:r>
          </w:p>
        </w:tc>
        <w:tc>
          <w:tcPr>
            <w:tcW w:type="dxa" w:w="3186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20"/>
              <w:bottom w:type="dxa" w:w="10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/>
            </w:r>
          </w:p>
        </w:tc>
      </w:tr>
    </w:tbl>
    <w:p>
      <w:pPr>
        <w:spacing w:after="0" w:before="120"/>
      </w:pPr>
    </w:p>
    <w:p>
      <w:pPr>
        <w:spacing w:after="60" w:before="0"/>
      </w:pPr>
      <w:r>
        <w:rPr>
          <w:rFonts w:ascii="Arial" w:cs="Arial" w:eastAsia="Arial" w:hAnsi="Arial"/>
          <w:b/>
          <w:bCs/>
          <w:color w:val="1A4F8A"/>
          <w:sz w:val="20"/>
          <w:szCs w:val="20"/>
        </w:rPr>
        <w:t xml:space="preserve">Priority Gap Areas Identified:</w:t>
      </w:r>
    </w:p>
    <w:p>
      <w:pPr>
        <w:spacing w:after="40" w:before="40"/>
      </w:pPr>
      <w:r>
        <w:rPr>
          <w:rFonts w:ascii="Arial" w:cs="Arial" w:eastAsia="Arial" w:hAnsi="Arial"/>
          <w:color w:val="444444"/>
          <w:sz w:val="18"/>
          <w:szCs w:val="18"/>
        </w:rPr>
        <w:t xml:space="preserve">1.  ____________________________________________________________________________</w:t>
      </w:r>
    </w:p>
    <w:p>
      <w:pPr>
        <w:spacing w:after="40" w:before="40"/>
      </w:pPr>
      <w:r>
        <w:rPr>
          <w:rFonts w:ascii="Arial" w:cs="Arial" w:eastAsia="Arial" w:hAnsi="Arial"/>
          <w:color w:val="444444"/>
          <w:sz w:val="18"/>
          <w:szCs w:val="18"/>
        </w:rPr>
        <w:t xml:space="preserve">2.  ____________________________________________________________________________</w:t>
      </w:r>
    </w:p>
    <w:p>
      <w:pPr>
        <w:spacing w:after="40" w:before="40"/>
      </w:pPr>
      <w:r>
        <w:rPr>
          <w:rFonts w:ascii="Arial" w:cs="Arial" w:eastAsia="Arial" w:hAnsi="Arial"/>
          <w:color w:val="444444"/>
          <w:sz w:val="18"/>
          <w:szCs w:val="18"/>
        </w:rPr>
        <w:t xml:space="preserve">3.  ____________________________________________________________________________</w:t>
      </w:r>
    </w:p>
    <w:p>
      <w:pPr>
        <w:spacing w:after="0" w:before="120"/>
      </w:pPr>
    </w:p>
    <w:p>
      <w:pPr>
        <w:pBdr>
          <w:bottom w:val="single" w:color="1A4F8A" w:sz="8" w:space="4"/>
        </w:pBdr>
        <w:spacing w:after="80" w:before="280"/>
      </w:pPr>
      <w:r>
        <w:rPr>
          <w:rFonts w:ascii="Arial" w:cs="Arial" w:eastAsia="Arial" w:hAnsi="Arial"/>
          <w:b/>
          <w:bCs/>
          <w:color w:val="1A4F8A"/>
          <w:sz w:val="26"/>
          <w:szCs w:val="26"/>
        </w:rPr>
        <w:t xml:space="preserve">SIGN-OFF</w:t>
      </w:r>
    </w:p>
    <w:p>
      <w:pPr>
        <w:spacing w:after="0" w:before="80"/>
      </w:pPr>
    </w:p>
    <w:tbl>
      <w:tblPr>
        <w:tblW w:type="dxa" w:w="95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7160"/>
      </w:tblGrid>
      <w:tr>
        <w:tc>
          <w:tcPr>
            <w:tcW w:type="dxa" w:w="24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5F5F5" w:val="clear"/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444444"/>
                <w:sz w:val="18"/>
                <w:szCs w:val="18"/>
              </w:rPr>
              <w:t xml:space="preserve">Assessed by:</w:t>
            </w:r>
          </w:p>
        </w:tc>
        <w:tc>
          <w:tcPr>
            <w:tcW w:type="dxa" w:w="7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4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5F5F5" w:val="clear"/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444444"/>
                <w:sz w:val="18"/>
                <w:szCs w:val="18"/>
              </w:rPr>
              <w:t xml:space="preserve">Role / Title:</w:t>
            </w:r>
          </w:p>
        </w:tc>
        <w:tc>
          <w:tcPr>
            <w:tcW w:type="dxa" w:w="7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4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5F5F5" w:val="clear"/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444444"/>
                <w:sz w:val="18"/>
                <w:szCs w:val="18"/>
              </w:rPr>
              <w:t xml:space="preserve">Organisation:</w:t>
            </w:r>
          </w:p>
        </w:tc>
        <w:tc>
          <w:tcPr>
            <w:tcW w:type="dxa" w:w="7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4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5F5F5" w:val="clear"/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444444"/>
                <w:sz w:val="18"/>
                <w:szCs w:val="18"/>
              </w:rPr>
              <w:t xml:space="preserve">Assessment date:</w:t>
            </w:r>
          </w:p>
        </w:tc>
        <w:tc>
          <w:tcPr>
            <w:tcW w:type="dxa" w:w="7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4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5F5F5" w:val="clear"/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444444"/>
                <w:sz w:val="18"/>
                <w:szCs w:val="18"/>
              </w:rPr>
              <w:t xml:space="preserve">Transition audit target:</w:t>
            </w:r>
          </w:p>
        </w:tc>
        <w:tc>
          <w:tcPr>
            <w:tcW w:type="dxa" w:w="7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4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5F5F5" w:val="clear"/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444444"/>
                <w:sz w:val="18"/>
                <w:szCs w:val="18"/>
              </w:rPr>
              <w:t xml:space="preserve">Certification body:</w:t>
            </w:r>
          </w:p>
        </w:tc>
        <w:tc>
          <w:tcPr>
            <w:tcW w:type="dxa" w:w="7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/>
            </w:r>
          </w:p>
        </w:tc>
      </w:tr>
    </w:tbl>
    <w:p>
      <w:pPr>
        <w:spacing w:after="0" w:before="160"/>
      </w:pPr>
    </w:p>
    <w:p>
      <w:pPr>
        <w:pBdr>
          <w:top w:val="single" w:color="1A4F8A" w:sz="6" w:space="6"/>
        </w:pBdr>
        <w:spacing w:after="0" w:before="0"/>
      </w:pPr>
      <w:r>
        <w:rPr>
          <w:rFonts w:ascii="Arial" w:cs="Arial" w:eastAsia="Arial" w:hAnsi="Arial"/>
          <w:color w:val="444444"/>
          <w:sz w:val="16"/>
          <w:szCs w:val="16"/>
        </w:rPr>
        <w:t xml:space="preserve">© 2026 Standards Unlimited. For internal use only. Not for resale. Visit </w:t>
      </w:r>
      <w:r>
        <w:rPr>
          <w:rFonts w:ascii="Arial" w:cs="Arial" w:eastAsia="Arial" w:hAnsi="Arial"/>
          <w:b/>
          <w:bCs/>
          <w:color w:val="1A4F8A"/>
          <w:sz w:val="16"/>
          <w:szCs w:val="16"/>
        </w:rPr>
        <w:t xml:space="preserve">standardsunlimited.com</w:t>
      </w:r>
      <w:r>
        <w:rPr>
          <w:rFonts w:ascii="Arial" w:cs="Arial" w:eastAsia="Arial" w:hAnsi="Arial"/>
          <w:color w:val="444444"/>
          <w:sz w:val="16"/>
          <w:szCs w:val="16"/>
        </w:rPr>
        <w:t xml:space="preserve"> for the full transition document pack.</w:t>
      </w:r>
    </w:p>
    <w:sectPr>
      <w:pgSz w:w="12240" w:h="15840" w:orient="portrait"/>
      <w:pgMar w:top="720" w:right="900" w:bottom="900" w:left="9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2026-06-22T17:32:06.648Z</dcterms:created>
  <dcterms:modified xsi:type="dcterms:W3CDTF">2026-06-22T17:32:06.648Z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