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1035" w:val="clear"/>
        <w:spacing w:after="0" w:before="0"/>
      </w:pPr>
      <w:r>
        <w:rPr>
          <w:rFonts w:ascii="Arial" w:cs="Arial" w:eastAsia="Arial" w:hAnsi="Arial"/>
          <w:b/>
          <w:bCs/>
          <w:color w:val="FFFFFF"/>
          <w:sz w:val="18"/>
          <w:szCs w:val="18"/>
        </w:rPr>
        <w:t xml:space="preserve">  STANDARDS UNLIMITED  |  standardsunlimited.com</w:t>
      </w:r>
    </w:p>
    <w:p>
      <w:pPr>
        <w:spacing w:after="0" w:before="1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spacing w:after="40" w:before="0"/>
      </w:pPr>
      <w:r>
        <w:rPr>
          <w:rFonts w:ascii="Arial" w:cs="Arial" w:eastAsia="Arial" w:hAnsi="Arial"/>
          <w:b/>
          <w:bCs/>
          <w:color w:val="1A1035"/>
          <w:sz w:val="44"/>
          <w:szCs w:val="44"/>
        </w:rPr>
        <w:t xml:space="preserve">ISO 27001:2022 Compliance Checklist</w:t>
      </w:r>
    </w:p>
    <w:p>
      <w:pPr>
        <w:pBdr>
          <w:bottom w:val="single" w:color="4C1D95" w:sz="12" w:space="6"/>
        </w:pBdr>
        <w:spacing w:after="0" w:before="0"/>
      </w:pPr>
      <w:r>
        <w:rPr>
          <w:rFonts w:ascii="Arial" w:cs="Arial" w:eastAsia="Arial" w:hAnsi="Arial"/>
          <w:b w:val="false"/>
          <w:bCs w:val="false"/>
          <w:color w:val="7F8C8D"/>
          <w:sz w:val="19"/>
          <w:szCs w:val="19"/>
        </w:rPr>
        <w:t xml:space="preserve">45 Gap Assessment Items  |  5 Steps to Certification  |  Highest-Risk Annex A Controls  |  standardsunlimited.com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3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03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Standard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ISO/IEC 27001:2022 (Published October 2022)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03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Replaces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ISO 27001:2013 — all certificates should now be on 2022 edition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03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New Controls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11 new Annex A controls in 2022 edition — all marked ★ in this checklist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03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 Controls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93 Annex A controls across 4 themes: Organisational, People, Physical, Technological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03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 Items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45 checklist items across 5 steps — focused on highest audit risk areas</w:t>
            </w:r>
          </w:p>
        </w:tc>
      </w:tr>
    </w:tbl>
    <w:p>
      <w:pPr>
        <w:spacing w:after="0" w:before="10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shd w:fill="FDEBD0" w:val="clear"/>
        <w:spacing w:after="0" w:before="0"/>
        <w:ind w:left="120"/>
      </w:pPr>
      <w:r>
        <w:rPr>
          <w:rFonts w:ascii="Arial" w:cs="Arial" w:eastAsia="Arial" w:hAnsi="Arial"/>
          <w:b/>
          <w:bCs/>
          <w:color w:val="E67E22"/>
          <w:sz w:val="18"/>
          <w:szCs w:val="18"/>
        </w:rPr>
        <w:t xml:space="preserve">HOW TO USE: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Review each item and mark: ✅ Compliant | ⚠ Partial | ❌ Gap Identified. </w:t>
      </w:r>
      <w:r>
        <w:rPr>
          <w:rFonts w:ascii="Arial" w:cs="Arial" w:eastAsia="Arial" w:hAnsi="Arial"/>
          <w:b/>
          <w:bCs/>
          <w:color w:val="E67E22"/>
          <w:sz w:val="18"/>
          <w:szCs w:val="18"/>
        </w:rPr>
        <w:t xml:space="preserve">★ = New ISO 27001:2022 control (11 total — prioritise these). </w:t>
      </w:r>
      <w:r>
        <w:rPr>
          <w:rFonts w:ascii="Arial" w:cs="Arial" w:eastAsia="Arial" w:hAnsi="Arial"/>
          <w:b/>
          <w:bCs/>
          <w:color w:val="4C1D95"/>
          <w:sz w:val="18"/>
          <w:szCs w:val="18"/>
        </w:rPr>
        <w:t xml:space="preserve">HIGH AUDIT RISK items are those auditors most commonly challenge.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3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17"/>
                <w:szCs w:val="17"/>
              </w:rPr>
              <w:t xml:space="preserve">★  New 2022 control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4C1D95"/>
                <w:sz w:val="17"/>
                <w:szCs w:val="17"/>
              </w:rPr>
              <w:t xml:space="preserve">⚠  HIGH AUDIT RISK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D3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6644"/>
                <w:sz w:val="17"/>
                <w:szCs w:val="17"/>
              </w:rPr>
              <w:t xml:space="preserve">✅  Compliant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0392B"/>
                <w:sz w:val="17"/>
                <w:szCs w:val="17"/>
              </w:rPr>
              <w:t xml:space="preserve">❌  Gap Identified</w:t>
            </w:r>
          </w:p>
        </w:tc>
      </w:tr>
    </w:tbl>
    <w:p>
      <w:pPr>
        <w:spacing w:after="0" w:before="10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Organisation: _______________________________     Scope: ____________________     Assessment date: _______________</w:t>
      </w:r>
    </w:p>
    <w:p>
      <w:pPr>
        <w:spacing w:after="0" w:before="14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1 — SCOPE, CONTEXT &amp; INTERESTED PARTIES (Clauses 4.1, 4.2, 4.3)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Internal and external issues relevant to information security identified and documented (Clause 4.1)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Applicable legal and regulatory requirements identified — PDPL Saudi Arabia, UAE data protection law, GDPR where applicable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Interested parties and their specific information security requirements documented (Clause 4.2)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Legal compliance register updated with all applicable information security legislation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ISMS scope defined — clearly states which assets, systems, locations, and processes are included (Clause 4.3)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Scope exclusions documented with justified rationale — auditors will challenge unjustified exclusions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Scope statement maintained as documented information and communicated to relevant parties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2 — INFORMATION SECURITY RISK ASSESSMENT &amp; TREATMENT (Clause 6.1)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</w:t>
      </w: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★ HIGH AUDIT RISK: The risk assessment is the document auditors spend the most time reviewing. Every gap here becomes a finding.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assessment methodology documented — defines likelihood, impact, scoring criteria, and acceptance criteria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information assets within scope identified and included in risk assessment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Risks evaluated for Confidentiality, Integrity, and Availability (CIA triad) for each asset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treatment decisions documented for each risk: Mitigate / Avoid / Transfer / Accept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treatment plan produced — maps each risk to Annex A controls or additional controls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Residual risk formally accepted by appropriate authority after treatment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register maintained as documented information and updated when significant changes occur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assessment is reproducible — not a one-time exercise (auditors test this)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3 — STATEMENT OF APPLICABILITY (SoA)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</w:t>
      </w: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★ MOST SCRUTINISED DOCUMENT in any ISO 27001:2022 audit. All 93 controls must be addressed with documented justification.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Statement of Applicability (SoA) produced covering all 93 Annex A controls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Every included control has documented justification — which risks it treats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Every excluded control has documented justification — why it is not applicable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Implementation status recorded for each included control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A.5.7 Threat Intelligence — included or justified exclusion documented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A.5.23 Cloud Services Security — included for every cloud service in use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A.5.30 ICT Readiness for Business Continuity — included or justified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A.8.10 Information Deletion — included or justified exclusion documented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A.8.11 Data Masking — included or justified exclusion documented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A.8.12 Data Leakage Prevention — included or justified (★ NEW 2022 — HIGH AUDIT RISK)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A.8.16 Monitoring Activities — included or justified exclusion documented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A.8.28 Secure Coding — included if software development in scope (★ NEW 2022 control)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4A — ORGANISATIONAL &amp; PEOPLE CONTROLS (Annex A.5 &amp; A.6)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Information Security Policy approved by top management and communicated to all staff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Access Control Policy documented — defines who can access what, under what conditions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Acceptable Use Policy in place and acknowledged by all users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Supplier / Third-Party Security Policy documented and applied to all significant vendors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Background screening procedure for new employees implemented (A.6.1)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Information security awareness training programme — completed by ALL staff, records maintained (A.6.3)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Disciplinary process for information security violations defined and communicated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Offboarding procedure covers access revocation, equipment return, and knowledge transfer (A.6.5)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4B — TECHNICAL CONTROLS — NEW 2022 CONTROLS (Annex A.8) ★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</w:t>
      </w: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★ These 2022 controls are where first-time and transitioning organisations are most commonly challenged by auditors.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A.5.7 Threat Intelligence: Process exists to monitor emerging threats relevant to the sector and geography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A.5.23 Cloud Security: Security requirements documented for EVERY cloud service in use — not just the main ones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A.8.9 Configuration Management: Baseline configurations documented and maintained for systems in scope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A.8.10 Information Deletion: Process ensures personal and sensitive data deleted when no longer required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A.8.11 Data Masking: Applied in non-production environments where personal or sensitive data is used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A.8.12 Data Leakage Prevention: Technical controls preventing unauthorised data exfiltration implemented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A.8.16 Monitoring Activities: System and network monitoring in place with alert thresholds defined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7E22"/>
                <w:sz w:val="22"/>
                <w:szCs w:val="22"/>
              </w:rPr>
              <w:t xml:space="preserve">★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A.8.28 Secure Coding: If software is developed, secure development lifecycle is documented and followed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4C — HIGHEST-RISK EXISTING CONTROLS (Annex A — Common Audit Failures)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User access rights formally reviewed at defined intervals — joiners, movers, and leavers process operational (A.8.2)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Privileged access managed and monitored — minimum number of privileged accounts, access logged (A.8.2)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significant suppliers assessed for information security — contractual security requirements in place (A.5.19)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Incident management procedure operational — incidents detected, recorded, investigated, and CAPA raised (A.5.24)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Business continuity and disaster recovery plans tested — not just documented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Encryption applied to personal and sensitive data at rest and in transit (A.8.24)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STEP 5 — INTERNAL AUDIT, MANAGEMENT REVIEW &amp; CERTIFICATION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Internal audit programme covering all ISMS clauses and in-scope Annex A controls implemented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Internal audit conducted by individuals independent of the areas being audited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internal audit findings processed through corrective action (CAPA) procedure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3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CAPA records closed before certification audit — auditors review CAPA closure as standard procedure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Management review conducted — covering context changes, audit results, risk register, incidents, objectives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Management review record maintained as documented information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Stage 1 documentation gaps closed before Stage 2 certification audit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GAP ASSESSMENT SUMMARY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86"/>
        <w:gridCol w:w="3186"/>
        <w:gridCol w:w="3186"/>
      </w:tblGrid>
      <w:tr>
        <w:tc>
          <w:tcPr>
            <w:tcW w:type="dxa" w:w="3186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✅  Compliant</w:t>
            </w:r>
          </w:p>
        </w:tc>
        <w:tc>
          <w:tcPr>
            <w:tcW w:type="dxa" w:w="3186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⚠  Partial</w:t>
            </w:r>
          </w:p>
        </w:tc>
        <w:tc>
          <w:tcPr>
            <w:tcW w:type="dxa" w:w="3186"/>
            <w:tcBorders>
              <w:top w:val="single" w:color="4C1D95" w:sz="1"/>
              <w:left w:val="single" w:color="4C1D95" w:sz="1"/>
              <w:bottom w:val="single" w:color="4C1D95" w:sz="1"/>
              <w:right w:val="single" w:color="4C1D95" w:sz="1"/>
            </w:tcBorders>
            <w:shd w:fill="4C1D95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❌  Gap Identified</w:t>
            </w:r>
          </w:p>
        </w:tc>
      </w:tr>
      <w:tr>
        <w:tc>
          <w:tcPr>
            <w:tcW w:type="dxa" w:w="318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0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0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0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spacing w:after="60" w:before="0"/>
      </w:pPr>
      <w:r>
        <w:rPr>
          <w:rFonts w:ascii="Arial" w:cs="Arial" w:eastAsia="Arial" w:hAnsi="Arial"/>
          <w:b/>
          <w:bCs/>
          <w:color w:val="4C1D95"/>
          <w:sz w:val="20"/>
          <w:szCs w:val="20"/>
        </w:rPr>
        <w:t xml:space="preserve">Priority Gap Areas Identified:</w:t>
      </w:r>
    </w:p>
    <w:p>
      <w:pPr>
        <w:spacing w:after="40" w:before="40"/>
      </w:pPr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1.  _________________________________________________________________________________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2.  _________________________________________________________________________________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3.  _________________________________________________________________________________</w:t>
      </w:r>
    </w:p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4C1D95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4C1D95"/>
          <w:sz w:val="22"/>
          <w:szCs w:val="22"/>
        </w:rPr>
        <w:t xml:space="preserve">SIGN-OFF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3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Assessed by: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Role / Title: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Organisation: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ISMS scope covered: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Assessment date: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Certification body: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Certification audit target date: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top w:val="single" w:color="4C1D95" w:sz="6" w:space="6"/>
        </w:pBdr>
      </w:pPr>
      <w:r>
        <w:rPr>
          <w:rFonts w:ascii="Arial" w:cs="Arial" w:eastAsia="Arial" w:hAnsi="Arial"/>
          <w:b w:val="false"/>
          <w:bCs w:val="false"/>
          <w:color w:val="7F8C8D"/>
          <w:sz w:val="16"/>
          <w:szCs w:val="16"/>
        </w:rPr>
        <w:t xml:space="preserve">© 2026 Standards Unlimited. For internal use only. Not for resale. Visit </w:t>
      </w:r>
      <w:r>
        <w:rPr>
          <w:rFonts w:ascii="Arial" w:cs="Arial" w:eastAsia="Arial" w:hAnsi="Arial"/>
          <w:b/>
          <w:bCs/>
          <w:color w:val="4C1D95"/>
          <w:sz w:val="16"/>
          <w:szCs w:val="16"/>
        </w:rPr>
        <w:t xml:space="preserve">standardsunlimited.com</w:t>
      </w:r>
      <w:r>
        <w:rPr>
          <w:rFonts w:ascii="Arial" w:cs="Arial" w:eastAsia="Arial" w:hAnsi="Arial"/>
          <w:b w:val="false"/>
          <w:bCs w:val="false"/>
          <w:color w:val="7F8C8D"/>
          <w:sz w:val="16"/>
          <w:szCs w:val="16"/>
        </w:rPr>
        <w:t xml:space="preserve"> for the full ISO 27001:2022 implementation toolkit.</w:t>
      </w:r>
    </w:p>
    <w:sectPr>
      <w:pgSz w:w="12240" w:h="15840" w:orient="portrait"/>
      <w:pgMar w:top="72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2026-06-27T10:50:51.940Z</dcterms:created>
  <dcterms:modified xsi:type="dcterms:W3CDTF">2026-06-27T10:50:51.958Z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