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5C1010" w:val="clear"/>
        <w:spacing w:after="0" w:before="0"/>
      </w:pPr>
      <w:r>
        <w:rPr>
          <w:rFonts w:ascii="Arial" w:cs="Arial" w:eastAsia="Arial" w:hAnsi="Arial"/>
          <w:b/>
          <w:bCs/>
          <w:color w:val="FFFFFF"/>
          <w:sz w:val="18"/>
          <w:szCs w:val="18"/>
        </w:rPr>
        <w:t xml:space="preserve">  STANDARDS UNLIMITED  |  standardsunlimited.com</w:t>
      </w:r>
    </w:p>
    <w:p>
      <w:pPr>
        <w:spacing w:after="0" w:before="160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/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5C1010"/>
          <w:sz w:val="44"/>
          <w:szCs w:val="44"/>
        </w:rPr>
        <w:t xml:space="preserve">ISO 22000:2026 Transition Checklist</w:t>
      </w:r>
    </w:p>
    <w:p>
      <w:pPr>
        <w:pBdr>
          <w:bottom w:val="single" w:color="D85A30" w:sz="12" w:space="6"/>
        </w:pBdr>
        <w:spacing w:after="0" w:before="0"/>
      </w:pPr>
      <w:r>
        <w:rPr>
          <w:rFonts w:ascii="Arial" w:cs="Arial" w:eastAsia="Arial" w:hAnsi="Arial"/>
          <w:b w:val="false"/>
          <w:bCs w:val="false"/>
          <w:color w:val="7F8C8D"/>
          <w:sz w:val="20"/>
          <w:szCs w:val="20"/>
        </w:rPr>
        <w:t xml:space="preserve">ISO 22000:2018 vs 2026  |  40-Point Gap Assessment  |  standardsunlimited.com</w:t>
      </w:r>
    </w:p>
    <w:p>
      <w:pPr>
        <w:spacing w:after="0" w:before="80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/>
      </w:r>
    </w:p>
    <w:tbl>
      <w:tblPr>
        <w:tblW w:type="dxa" w:w="95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60"/>
      </w:tblGrid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C1010" w:val="clear"/>
            <w:tcMar>
              <w:top w:type="dxa" w:w="70"/>
              <w:left w:type="dxa" w:w="12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Standard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70"/>
              <w:left w:type="dxa" w:w="12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ISO 22000:2026 (DIS stage — publication expected 2026/2027)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C1010" w:val="clear"/>
            <w:tcMar>
              <w:top w:type="dxa" w:w="70"/>
              <w:left w:type="dxa" w:w="12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Transition Deadline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70"/>
              <w:left w:type="dxa" w:w="12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3 years from publication date (TBC on final publication)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C1010" w:val="clear"/>
            <w:tcMar>
              <w:top w:type="dxa" w:w="70"/>
              <w:left w:type="dxa" w:w="12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Based on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70"/>
              <w:left w:type="dxa" w:w="12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ISO 22000 DIS 2026 and official ISO/TC 34/SC 17 committee communications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C1010" w:val="clear"/>
            <w:tcMar>
              <w:top w:type="dxa" w:w="70"/>
              <w:left w:type="dxa" w:w="12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Total Items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70"/>
              <w:left w:type="dxa" w:w="12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40 checklist items across 8 sections</w:t>
            </w:r>
          </w:p>
        </w:tc>
      </w:tr>
    </w:tbl>
    <w:p>
      <w:pPr>
        <w:spacing w:after="0" w:before="120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/>
      </w:r>
    </w:p>
    <w:p>
      <w:pPr>
        <w:shd w:fill="FDEBD0" w:val="clear"/>
        <w:spacing w:after="80" w:before="80"/>
        <w:ind w:left="120"/>
      </w:pPr>
      <w:r>
        <w:rPr>
          <w:rFonts w:ascii="Arial" w:cs="Arial" w:eastAsia="Arial" w:hAnsi="Arial"/>
          <w:b/>
          <w:bCs/>
          <w:color w:val="E67E22"/>
          <w:sz w:val="18"/>
          <w:szCs w:val="18"/>
        </w:rPr>
        <w:t xml:space="preserve">★  NOTE:  </w:t>
      </w:r>
      <w:r>
        <w:rPr>
          <w:rFonts w:ascii="Arial" w:cs="Arial" w:eastAsia="Arial" w:hAnsi="Arial"/>
          <w:b w:val="false"/>
          <w:bCs w:val="false"/>
          <w:color w:val="1A1A1A"/>
          <w:sz w:val="18"/>
          <w:szCs w:val="18"/>
        </w:rPr>
        <w:t xml:space="preserve">HOW TO USE:  Work through each section. In column 2, mark: ✅ Compliant | ⚠ Partial | ❌ Gap identified. Items marked ★ are new or strengthened in ISO 22000:2026 — prioritise these in your gap assessment. Use the Notes / Evidence column to reference records or document actions needed.</w:t>
      </w:r>
    </w:p>
    <w:p>
      <w:pPr>
        <w:spacing w:after="0" w:before="160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Arial" w:cs="Arial" w:eastAsia="Arial" w:hAnsi="Arial"/>
          <w:b w:val="false"/>
          <w:bCs w:val="false"/>
          <w:color w:val="7F8C8D"/>
          <w:sz w:val="18"/>
          <w:szCs w:val="18"/>
        </w:rPr>
        <w:t xml:space="preserve">Organisation: _______________________________     Site: ____________________     Assessment date: _______________</w:t>
      </w:r>
    </w:p>
    <w:p>
      <w:pPr>
        <w:spacing w:after="0" w:before="160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/>
      </w:r>
    </w:p>
    <w:p>
      <w:pPr>
        <w:pBdr>
          <w:bottom w:val="single" w:color="D85A30" w:sz="10" w:space="4"/>
        </w:pBdr>
        <w:spacing w:after="80" w:before="280"/>
      </w:pPr>
      <w:r>
        <w:rPr>
          <w:rFonts w:ascii="Arial" w:cs="Arial" w:eastAsia="Arial" w:hAnsi="Arial"/>
          <w:b/>
          <w:bCs/>
          <w:color w:val="D85A30"/>
          <w:sz w:val="22"/>
          <w:szCs w:val="22"/>
        </w:rPr>
        <w:t xml:space="preserve">SECTION 1 — FOOD SAFETY CULTURE (★ NEW — ISO 22000:2026)</w:t>
      </w:r>
    </w:p>
    <w:p>
      <w:pPr>
        <w:spacing w:after="0" w:before="60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/>
      </w:r>
    </w:p>
    <w:tbl>
      <w:tblPr>
        <w:tblW w:type="dxa" w:w="95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600"/>
        <w:gridCol w:w="6200"/>
        <w:gridCol w:w="2160"/>
      </w:tblGrid>
      <w:tr>
        <w:tc>
          <w:tcPr>
            <w:tcW w:type="dxa" w:w="60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dxa" w:w="60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☐ / ★</w:t>
            </w:r>
          </w:p>
        </w:tc>
        <w:tc>
          <w:tcPr>
            <w:tcW w:type="dxa" w:w="620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Checklist Item</w:t>
            </w:r>
          </w:p>
        </w:tc>
        <w:tc>
          <w:tcPr>
            <w:tcW w:type="dxa" w:w="216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Notes / Evidence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1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Has top management formally defined what 'food safety culture' means in the organisation?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2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Is there documented evidence of top management actively promoting food safety culture — beyond a signed food safety policy?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3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Are specific leadership behaviours that demonstrate food safety commitment documented and communicated?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4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Is ethical behaviour in food safety formally defined and communicated to all relevant personnel?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5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Are employees at all levels aware of their personal responsibility for food safety culture?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6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Is food safety culture included in employee induction and onboarding content?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7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Does the internal audit programme include checks for food safety culture evidence — not just procedure compliance?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8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Does the management review agenda include a food safety culture performance discussion?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</w:tbl>
    <w:p>
      <w:pPr>
        <w:spacing w:after="0" w:before="120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/>
      </w:r>
    </w:p>
    <w:p>
      <w:pPr>
        <w:pBdr>
          <w:bottom w:val="single" w:color="D85A30" w:sz="10" w:space="4"/>
        </w:pBdr>
        <w:spacing w:after="80" w:before="280"/>
      </w:pPr>
      <w:r>
        <w:rPr>
          <w:rFonts w:ascii="Arial" w:cs="Arial" w:eastAsia="Arial" w:hAnsi="Arial"/>
          <w:b/>
          <w:bCs/>
          <w:color w:val="D85A30"/>
          <w:sz w:val="22"/>
          <w:szCs w:val="22"/>
        </w:rPr>
        <w:t xml:space="preserve">SECTION 2 — CLIMATE CHANGE IN CONTEXT ANALYSIS (★ NEW — Clauses 4.1 &amp; 4.2)</w:t>
      </w:r>
    </w:p>
    <w:p>
      <w:pPr>
        <w:spacing w:after="0" w:before="60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/>
      </w:r>
    </w:p>
    <w:tbl>
      <w:tblPr>
        <w:tblW w:type="dxa" w:w="95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600"/>
        <w:gridCol w:w="6200"/>
        <w:gridCol w:w="2160"/>
      </w:tblGrid>
      <w:tr>
        <w:tc>
          <w:tcPr>
            <w:tcW w:type="dxa" w:w="60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dxa" w:w="60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☐ / ★</w:t>
            </w:r>
          </w:p>
        </w:tc>
        <w:tc>
          <w:tcPr>
            <w:tcW w:type="dxa" w:w="620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Checklist Item</w:t>
            </w:r>
          </w:p>
        </w:tc>
        <w:tc>
          <w:tcPr>
            <w:tcW w:type="dxa" w:w="216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Notes / Evidence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9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Has the organisation formally assessed whether climate change is a relevant external issue for the FSMS? (Clause 4.1)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10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Is the climate change context assessment documented in the organisation's context analysis records?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11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Have relevant interested parties been reviewed for climate-related requirements affecting food safety? (Clause 4.2)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12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Are climate-related risks — such as temperature excursions, extreme weather, ingredient availability — included in the FSMS hazard analysis?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13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Has the impact of climate change on supply chain reliability and ingredient safety been assessed?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</w:tbl>
    <w:p>
      <w:pPr>
        <w:spacing w:after="0" w:before="120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/>
      </w:r>
    </w:p>
    <w:p>
      <w:pPr>
        <w:pBdr>
          <w:bottom w:val="single" w:color="D85A30" w:sz="10" w:space="4"/>
        </w:pBdr>
        <w:spacing w:after="80" w:before="280"/>
      </w:pPr>
      <w:r>
        <w:rPr>
          <w:rFonts w:ascii="Arial" w:cs="Arial" w:eastAsia="Arial" w:hAnsi="Arial"/>
          <w:b/>
          <w:bCs/>
          <w:color w:val="D85A30"/>
          <w:sz w:val="22"/>
          <w:szCs w:val="22"/>
        </w:rPr>
        <w:t xml:space="preserve">SECTION 3 — HAZARD ANALYSIS: ALLERGENS, FOOD FRAUD &amp; RADIOLOGICAL (★ Strengthened)</w:t>
      </w:r>
    </w:p>
    <w:p>
      <w:pPr>
        <w:spacing w:after="0" w:before="60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/>
      </w:r>
    </w:p>
    <w:tbl>
      <w:tblPr>
        <w:tblW w:type="dxa" w:w="95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600"/>
        <w:gridCol w:w="6200"/>
        <w:gridCol w:w="2160"/>
      </w:tblGrid>
      <w:tr>
        <w:tc>
          <w:tcPr>
            <w:tcW w:type="dxa" w:w="60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dxa" w:w="60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☐ / ★</w:t>
            </w:r>
          </w:p>
        </w:tc>
        <w:tc>
          <w:tcPr>
            <w:tcW w:type="dxa" w:w="620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Checklist Item</w:t>
            </w:r>
          </w:p>
        </w:tc>
        <w:tc>
          <w:tcPr>
            <w:tcW w:type="dxa" w:w="216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Notes / Evidence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14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Does the hazard analysis explicitly include allergen management as a distinct hazard category?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15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Are allergen control measures (segregation, labelling, cleaning validation) documented as part of the HACCP plan?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16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Does the hazard analysis include food fraud (economically motivated adulteration) as a formal hazard category?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17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Is there a food fraud vulnerability assessment covering key raw materials and ingredients?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18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Does the hazard analysis include radiological hazards alongside biological, chemical, and physical hazards? (★ newly explicit in 2026)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19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☐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Is the hazard analysis reviewed and updated whenever a new ingredient, process, or supplier is introduced?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20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☐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Are hazard analysis records maintained as documented information and accessible for audit?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</w:tbl>
    <w:p>
      <w:pPr>
        <w:spacing w:after="0" w:before="120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/>
      </w:r>
    </w:p>
    <w:p>
      <w:pPr>
        <w:pBdr>
          <w:bottom w:val="single" w:color="D85A30" w:sz="10" w:space="4"/>
        </w:pBdr>
        <w:spacing w:after="80" w:before="280"/>
      </w:pPr>
      <w:r>
        <w:rPr>
          <w:rFonts w:ascii="Arial" w:cs="Arial" w:eastAsia="Arial" w:hAnsi="Arial"/>
          <w:b/>
          <w:bCs/>
          <w:color w:val="D85A30"/>
          <w:sz w:val="22"/>
          <w:szCs w:val="22"/>
        </w:rPr>
        <w:t xml:space="preserve">SECTION 4 — PREREQUISITE PROGRAMMES (PRPs) — ISO 22002:2025 ALIGNMENT</w:t>
      </w:r>
    </w:p>
    <w:p>
      <w:pPr>
        <w:spacing w:after="0" w:before="60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/>
      </w:r>
    </w:p>
    <w:tbl>
      <w:tblPr>
        <w:tblW w:type="dxa" w:w="95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600"/>
        <w:gridCol w:w="6200"/>
        <w:gridCol w:w="2160"/>
      </w:tblGrid>
      <w:tr>
        <w:tc>
          <w:tcPr>
            <w:tcW w:type="dxa" w:w="60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dxa" w:w="60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☐ / ★</w:t>
            </w:r>
          </w:p>
        </w:tc>
        <w:tc>
          <w:tcPr>
            <w:tcW w:type="dxa" w:w="620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Checklist Item</w:t>
            </w:r>
          </w:p>
        </w:tc>
        <w:tc>
          <w:tcPr>
            <w:tcW w:type="dxa" w:w="216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Notes / Evidence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21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Have existing PRPs been reviewed against the updated ISO 22002:2025 sector-specific requirements?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22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Does the environmental monitoring programme reflect the strengthened requirements in ISO 22002:2025?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23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Are food contact material controls documented and aligned to ISO 22002:2025 expectations?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24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Does the pest management programme meet the updated ISO 22002:2025 requirements?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25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Are allergen management PRPs documented as a formally separate PRP category?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26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☐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Are PRP verification activities scheduled and records maintained as documented information?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27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☐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Is there a process for reviewing and updating PRPs following any significant change in operations or facility?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</w:tbl>
    <w:p>
      <w:pPr>
        <w:spacing w:after="0" w:before="120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/>
      </w:r>
    </w:p>
    <w:p>
      <w:pPr>
        <w:pBdr>
          <w:bottom w:val="single" w:color="D85A30" w:sz="10" w:space="4"/>
        </w:pBdr>
        <w:spacing w:after="80" w:before="280"/>
      </w:pPr>
      <w:r>
        <w:rPr>
          <w:rFonts w:ascii="Arial" w:cs="Arial" w:eastAsia="Arial" w:hAnsi="Arial"/>
          <w:b/>
          <w:bCs/>
          <w:color w:val="D85A30"/>
          <w:sz w:val="22"/>
          <w:szCs w:val="22"/>
        </w:rPr>
        <w:t xml:space="preserve">SECTION 5 — LEADERSHIP ACCOUNTABILITY (★ Strengthened in ISO 22000:2026)</w:t>
      </w:r>
    </w:p>
    <w:p>
      <w:pPr>
        <w:spacing w:after="0" w:before="60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/>
      </w:r>
    </w:p>
    <w:tbl>
      <w:tblPr>
        <w:tblW w:type="dxa" w:w="95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600"/>
        <w:gridCol w:w="6200"/>
        <w:gridCol w:w="2160"/>
      </w:tblGrid>
      <w:tr>
        <w:tc>
          <w:tcPr>
            <w:tcW w:type="dxa" w:w="60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dxa" w:w="60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☐ / ★</w:t>
            </w:r>
          </w:p>
        </w:tc>
        <w:tc>
          <w:tcPr>
            <w:tcW w:type="dxa" w:w="620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Checklist Item</w:t>
            </w:r>
          </w:p>
        </w:tc>
        <w:tc>
          <w:tcPr>
            <w:tcW w:type="dxa" w:w="216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Notes / Evidence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28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Does top management demonstrate active engagement with FSMS performance — beyond management review attendance and a signed policy?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29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Are food safety objectives formally aligned with the organisation's strategic direction?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30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Is there verifiable evidence of leadership proactively providing resources for food safety — not just responding to problems?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31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☐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Are management review records available that show genuine strategic engagement with food safety performance?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32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☐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Has leadership been briefed on their specific accountability obligations under ISO 22000:2026?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</w:tbl>
    <w:p>
      <w:pPr>
        <w:spacing w:after="0" w:before="120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/>
      </w:r>
    </w:p>
    <w:p>
      <w:pPr>
        <w:pBdr>
          <w:bottom w:val="single" w:color="D85A30" w:sz="10" w:space="4"/>
        </w:pBdr>
        <w:spacing w:after="80" w:before="280"/>
      </w:pPr>
      <w:r>
        <w:rPr>
          <w:rFonts w:ascii="Arial" w:cs="Arial" w:eastAsia="Arial" w:hAnsi="Arial"/>
          <w:b/>
          <w:bCs/>
          <w:color w:val="D85A30"/>
          <w:sz w:val="22"/>
          <w:szCs w:val="22"/>
        </w:rPr>
        <w:t xml:space="preserve">SECTION 6 — TRACEABILITY (★ Clarified and Strengthened)</w:t>
      </w:r>
    </w:p>
    <w:p>
      <w:pPr>
        <w:spacing w:after="0" w:before="60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/>
      </w:r>
    </w:p>
    <w:tbl>
      <w:tblPr>
        <w:tblW w:type="dxa" w:w="95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600"/>
        <w:gridCol w:w="6200"/>
        <w:gridCol w:w="2160"/>
      </w:tblGrid>
      <w:tr>
        <w:tc>
          <w:tcPr>
            <w:tcW w:type="dxa" w:w="60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dxa" w:w="60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☐ / ★</w:t>
            </w:r>
          </w:p>
        </w:tc>
        <w:tc>
          <w:tcPr>
            <w:tcW w:type="dxa" w:w="620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Checklist Item</w:t>
            </w:r>
          </w:p>
        </w:tc>
        <w:tc>
          <w:tcPr>
            <w:tcW w:type="dxa" w:w="216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Notes / Evidence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33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Can the organisation complete a traceability exercise (one step back, one step forward) within the required time period?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34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Are digital traceability systems in place or being implemented? (Expected standard for most food businesses in ISO 22000:2026)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35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7E22"/>
                <w:sz w:val="22"/>
                <w:szCs w:val="22"/>
              </w:rPr>
              <w:t xml:space="preserve">★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Does the supplier evaluation process include traceability performance as a formal assessment criterion?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36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☐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Are traceability exercises conducted and records retained as documented evidence?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37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☐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Is the traceability procedure reviewed and tested at least annually?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</w:tbl>
    <w:p>
      <w:pPr>
        <w:spacing w:after="0" w:before="120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/>
      </w:r>
    </w:p>
    <w:p>
      <w:pPr>
        <w:pBdr>
          <w:bottom w:val="single" w:color="D85A30" w:sz="10" w:space="4"/>
        </w:pBdr>
        <w:spacing w:after="80" w:before="280"/>
      </w:pPr>
      <w:r>
        <w:rPr>
          <w:rFonts w:ascii="Arial" w:cs="Arial" w:eastAsia="Arial" w:hAnsi="Arial"/>
          <w:b/>
          <w:bCs/>
          <w:color w:val="D85A30"/>
          <w:sz w:val="22"/>
          <w:szCs w:val="22"/>
        </w:rPr>
        <w:t xml:space="preserve">SECTION 7 — HARMONIZED STRUCTURE &amp; IMS INTEGRATION</w:t>
      </w:r>
    </w:p>
    <w:p>
      <w:pPr>
        <w:spacing w:after="0" w:before="60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/>
      </w:r>
    </w:p>
    <w:tbl>
      <w:tblPr>
        <w:tblW w:type="dxa" w:w="95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600"/>
        <w:gridCol w:w="6200"/>
        <w:gridCol w:w="2160"/>
      </w:tblGrid>
      <w:tr>
        <w:tc>
          <w:tcPr>
            <w:tcW w:type="dxa" w:w="60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dxa" w:w="60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☐ / ★</w:t>
            </w:r>
          </w:p>
        </w:tc>
        <w:tc>
          <w:tcPr>
            <w:tcW w:type="dxa" w:w="620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Checklist Item</w:t>
            </w:r>
          </w:p>
        </w:tc>
        <w:tc>
          <w:tcPr>
            <w:tcW w:type="dxa" w:w="216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Notes / Evidence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38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☐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Has the organisation reviewed the updated Harmonized Structure clause mapping for ISO 22000:2026?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39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☐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If an IMS is in place (ISO 9001, ISO 14001, ISO 45001), have shared procedures been identified that can also satisfy ISO 22000:2026?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40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☐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Has the internal audit programme been reviewed for alignment with the ISO 22000:2026 clause structure?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</w:tbl>
    <w:p>
      <w:pPr>
        <w:spacing w:after="0" w:before="120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/>
      </w:r>
    </w:p>
    <w:p>
      <w:pPr>
        <w:pBdr>
          <w:bottom w:val="single" w:color="D85A30" w:sz="10" w:space="4"/>
        </w:pBdr>
        <w:spacing w:after="80" w:before="280"/>
      </w:pPr>
      <w:r>
        <w:rPr>
          <w:rFonts w:ascii="Arial" w:cs="Arial" w:eastAsia="Arial" w:hAnsi="Arial"/>
          <w:b/>
          <w:bCs/>
          <w:color w:val="D85A30"/>
          <w:sz w:val="22"/>
          <w:szCs w:val="22"/>
        </w:rPr>
        <w:t xml:space="preserve">SECTION 8 — TRANSITION PLANNING</w:t>
      </w:r>
    </w:p>
    <w:p>
      <w:pPr>
        <w:spacing w:after="0" w:before="60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/>
      </w:r>
    </w:p>
    <w:tbl>
      <w:tblPr>
        <w:tblW w:type="dxa" w:w="95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600"/>
        <w:gridCol w:w="6200"/>
        <w:gridCol w:w="2160"/>
      </w:tblGrid>
      <w:tr>
        <w:tc>
          <w:tcPr>
            <w:tcW w:type="dxa" w:w="60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dxa" w:w="60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☐ / ★</w:t>
            </w:r>
          </w:p>
        </w:tc>
        <w:tc>
          <w:tcPr>
            <w:tcW w:type="dxa" w:w="620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Checklist Item</w:t>
            </w:r>
          </w:p>
        </w:tc>
        <w:tc>
          <w:tcPr>
            <w:tcW w:type="dxa" w:w="216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Notes / Evidence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41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☐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Has the certification body been contacted for ISO 22000:2026 transition guidance and timeline?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42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☐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Has a target transition audit date been identified, aligned to the next recertification cycle?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43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☐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Is there an internal transition project plan with assigned responsibilities and target dates?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44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☐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Are relevant FSMS personnel receiving awareness on the ISO 22000:2026 key changes?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8"/>
                <w:szCs w:val="18"/>
              </w:rPr>
              <w:t xml:space="preserve">45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☐</w:t>
            </w:r>
          </w:p>
        </w:tc>
        <w:tc>
          <w:tcPr>
            <w:tcW w:type="dxa" w:w="6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Has a formal gap assessment report been produced and shared with top management?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F8C8D"/>
                <w:sz w:val="16"/>
                <w:szCs w:val="16"/>
              </w:rPr>
              <w:t xml:space="preserve"/>
            </w:r>
          </w:p>
        </w:tc>
      </w:tr>
    </w:tbl>
    <w:p>
      <w:pPr>
        <w:spacing w:after="0" w:before="120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/>
      </w:r>
    </w:p>
    <w:p>
      <w:pPr>
        <w:pBdr>
          <w:bottom w:val="single" w:color="D85A30" w:sz="10" w:space="4"/>
        </w:pBdr>
        <w:spacing w:after="80" w:before="280"/>
      </w:pPr>
      <w:r>
        <w:rPr>
          <w:rFonts w:ascii="Arial" w:cs="Arial" w:eastAsia="Arial" w:hAnsi="Arial"/>
          <w:b/>
          <w:bCs/>
          <w:color w:val="D85A30"/>
          <w:sz w:val="22"/>
          <w:szCs w:val="22"/>
        </w:rPr>
        <w:t xml:space="preserve">GAP ASSESSMENT SUMMARY</w:t>
      </w:r>
    </w:p>
    <w:p>
      <w:pPr>
        <w:spacing w:after="0" w:before="80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/>
      </w:r>
    </w:p>
    <w:tbl>
      <w:tblPr>
        <w:tblW w:type="dxa" w:w="95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86"/>
        <w:gridCol w:w="3186"/>
        <w:gridCol w:w="3186"/>
      </w:tblGrid>
      <w:tr>
        <w:tc>
          <w:tcPr>
            <w:tcW w:type="dxa" w:w="3186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✅  Compliant</w:t>
            </w:r>
          </w:p>
        </w:tc>
        <w:tc>
          <w:tcPr>
            <w:tcW w:type="dxa" w:w="3186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⚠  Partial</w:t>
            </w:r>
          </w:p>
        </w:tc>
        <w:tc>
          <w:tcPr>
            <w:tcW w:type="dxa" w:w="3186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D85A30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❌  Gap</w:t>
            </w:r>
          </w:p>
        </w:tc>
      </w:tr>
      <w:tr>
        <w:tc>
          <w:tcPr>
            <w:tcW w:type="dxa" w:w="318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0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318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0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318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0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spacing w:after="0" w:before="120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/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D85A30"/>
          <w:sz w:val="20"/>
          <w:szCs w:val="20"/>
        </w:rPr>
        <w:t xml:space="preserve">Priority Gap Areas Identified:</w:t>
      </w:r>
    </w:p>
    <w:p>
      <w:pPr>
        <w:spacing w:after="40" w:before="40"/>
      </w:pPr>
      <w:r>
        <w:rPr>
          <w:rFonts w:ascii="Arial" w:cs="Arial" w:eastAsia="Arial" w:hAnsi="Arial"/>
          <w:b w:val="false"/>
          <w:bCs w:val="false"/>
          <w:color w:val="7F8C8D"/>
          <w:sz w:val="18"/>
          <w:szCs w:val="18"/>
        </w:rPr>
        <w:t xml:space="preserve">1.  ____________________________________________________________________________</w:t>
      </w:r>
    </w:p>
    <w:p>
      <w:pPr>
        <w:spacing w:after="40" w:before="40"/>
      </w:pPr>
      <w:r>
        <w:rPr>
          <w:rFonts w:ascii="Arial" w:cs="Arial" w:eastAsia="Arial" w:hAnsi="Arial"/>
          <w:b w:val="false"/>
          <w:bCs w:val="false"/>
          <w:color w:val="7F8C8D"/>
          <w:sz w:val="18"/>
          <w:szCs w:val="18"/>
        </w:rPr>
        <w:t xml:space="preserve">2.  ____________________________________________________________________________</w:t>
      </w:r>
    </w:p>
    <w:p>
      <w:pPr>
        <w:spacing w:after="40" w:before="40"/>
      </w:pPr>
      <w:r>
        <w:rPr>
          <w:rFonts w:ascii="Arial" w:cs="Arial" w:eastAsia="Arial" w:hAnsi="Arial"/>
          <w:b w:val="false"/>
          <w:bCs w:val="false"/>
          <w:color w:val="7F8C8D"/>
          <w:sz w:val="18"/>
          <w:szCs w:val="18"/>
        </w:rPr>
        <w:t xml:space="preserve">3.  ____________________________________________________________________________</w:t>
      </w:r>
    </w:p>
    <w:p>
      <w:pPr>
        <w:spacing w:after="0" w:before="120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/>
      </w:r>
    </w:p>
    <w:p>
      <w:pPr>
        <w:pBdr>
          <w:bottom w:val="single" w:color="D85A30" w:sz="10" w:space="4"/>
        </w:pBdr>
        <w:spacing w:after="80" w:before="280"/>
      </w:pPr>
      <w:r>
        <w:rPr>
          <w:rFonts w:ascii="Arial" w:cs="Arial" w:eastAsia="Arial" w:hAnsi="Arial"/>
          <w:b/>
          <w:bCs/>
          <w:color w:val="D85A30"/>
          <w:sz w:val="22"/>
          <w:szCs w:val="22"/>
        </w:rPr>
        <w:t xml:space="preserve">SIGN-OFF</w:t>
      </w:r>
    </w:p>
    <w:p>
      <w:pPr>
        <w:spacing w:after="0" w:before="80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/>
      </w:r>
    </w:p>
    <w:tbl>
      <w:tblPr>
        <w:tblW w:type="dxa" w:w="95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60"/>
      </w:tblGrid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3F4" w:val="clear"/>
            <w:tcMar>
              <w:top w:type="dxa" w:w="70"/>
              <w:left w:type="dxa" w:w="12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7F8C8D"/>
                <w:sz w:val="18"/>
                <w:szCs w:val="18"/>
              </w:rPr>
              <w:t xml:space="preserve">Assessed by: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70"/>
              <w:left w:type="dxa" w:w="12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3F4" w:val="clear"/>
            <w:tcMar>
              <w:top w:type="dxa" w:w="70"/>
              <w:left w:type="dxa" w:w="12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7F8C8D"/>
                <w:sz w:val="18"/>
                <w:szCs w:val="18"/>
              </w:rPr>
              <w:t xml:space="preserve">Role / Title: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70"/>
              <w:left w:type="dxa" w:w="12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3F4" w:val="clear"/>
            <w:tcMar>
              <w:top w:type="dxa" w:w="70"/>
              <w:left w:type="dxa" w:w="12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7F8C8D"/>
                <w:sz w:val="18"/>
                <w:szCs w:val="18"/>
              </w:rPr>
              <w:t xml:space="preserve">Organisation: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70"/>
              <w:left w:type="dxa" w:w="12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3F4" w:val="clear"/>
            <w:tcMar>
              <w:top w:type="dxa" w:w="70"/>
              <w:left w:type="dxa" w:w="12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7F8C8D"/>
                <w:sz w:val="18"/>
                <w:szCs w:val="18"/>
              </w:rPr>
              <w:t xml:space="preserve">Site / Facility: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70"/>
              <w:left w:type="dxa" w:w="12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3F4" w:val="clear"/>
            <w:tcMar>
              <w:top w:type="dxa" w:w="70"/>
              <w:left w:type="dxa" w:w="12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7F8C8D"/>
                <w:sz w:val="18"/>
                <w:szCs w:val="18"/>
              </w:rPr>
              <w:t xml:space="preserve">Assessment date: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70"/>
              <w:left w:type="dxa" w:w="12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3F4" w:val="clear"/>
            <w:tcMar>
              <w:top w:type="dxa" w:w="70"/>
              <w:left w:type="dxa" w:w="12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7F8C8D"/>
                <w:sz w:val="18"/>
                <w:szCs w:val="18"/>
              </w:rPr>
              <w:t xml:space="preserve">Transition audit target: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70"/>
              <w:left w:type="dxa" w:w="12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3F4" w:val="clear"/>
            <w:tcMar>
              <w:top w:type="dxa" w:w="70"/>
              <w:left w:type="dxa" w:w="12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7F8C8D"/>
                <w:sz w:val="18"/>
                <w:szCs w:val="18"/>
              </w:rPr>
              <w:t xml:space="preserve">Certification body: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70"/>
              <w:left w:type="dxa" w:w="12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spacing w:after="0" w:before="160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/>
      </w:r>
    </w:p>
    <w:p>
      <w:pPr>
        <w:pBdr>
          <w:top w:val="single" w:color="D85A30" w:sz="6" w:space="6"/>
        </w:pBdr>
      </w:pPr>
      <w:r>
        <w:rPr>
          <w:rFonts w:ascii="Arial" w:cs="Arial" w:eastAsia="Arial" w:hAnsi="Arial"/>
          <w:b w:val="false"/>
          <w:bCs w:val="false"/>
          <w:color w:val="7F8C8D"/>
          <w:sz w:val="16"/>
          <w:szCs w:val="16"/>
        </w:rPr>
        <w:t xml:space="preserve">© 2026 Standards Unlimited. For internal use only. Not for resale. Based on ISO 22000 DIS 2026 and ISO/TC 34/SC 17 committee guidance. Always verify against the final published ISO 22000:2026 standard. Visit </w:t>
      </w:r>
      <w:r>
        <w:rPr>
          <w:rFonts w:ascii="Arial" w:cs="Arial" w:eastAsia="Arial" w:hAnsi="Arial"/>
          <w:b/>
          <w:bCs/>
          <w:color w:val="D85A30"/>
          <w:sz w:val="16"/>
          <w:szCs w:val="16"/>
        </w:rPr>
        <w:t xml:space="preserve">standardsunlimited.com</w:t>
      </w:r>
      <w:r>
        <w:rPr>
          <w:rFonts w:ascii="Arial" w:cs="Arial" w:eastAsia="Arial" w:hAnsi="Arial"/>
          <w:b w:val="false"/>
          <w:bCs w:val="false"/>
          <w:color w:val="7F8C8D"/>
          <w:sz w:val="16"/>
          <w:szCs w:val="16"/>
        </w:rPr>
        <w:t xml:space="preserve"> for the full transition document pack.</w:t>
      </w:r>
    </w:p>
    <w:sectPr>
      <w:pgSz w:w="12240" w:h="15840" w:orient="portrait"/>
      <w:pgMar w:top="72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2026-06-26T10:25:45.228Z</dcterms:created>
  <dcterms:modified xsi:type="dcterms:W3CDTF">2026-06-26T10:25:45.241Z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