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1A6644" w:val="clear"/>
        <w:spacing w:after="0" w:before="0"/>
      </w:pPr>
      <w:r>
        <w:rPr>
          <w:rFonts w:ascii="Arial" w:cs="Arial" w:eastAsia="Arial" w:hAnsi="Arial"/>
          <w:b/>
          <w:bCs/>
          <w:color w:val="FFFFFF"/>
          <w:sz w:val="18"/>
          <w:szCs w:val="18"/>
        </w:rPr>
        <w:t xml:space="preserve">  STANDARDS UNLIMITED  |  standardsunlimited.com</w:t>
      </w:r>
    </w:p>
    <w:p>
      <w:pPr>
        <w:spacing w:after="0" w:before="160"/>
      </w:pPr>
    </w:p>
    <w:p>
      <w:pPr>
        <w:spacing w:after="40" w:before="0"/>
      </w:pPr>
      <w:r>
        <w:rPr>
          <w:rFonts w:ascii="Arial" w:cs="Arial" w:eastAsia="Arial" w:hAnsi="Arial"/>
          <w:b/>
          <w:bCs/>
          <w:color w:val="1A6644"/>
          <w:sz w:val="44"/>
          <w:szCs w:val="44"/>
        </w:rPr>
        <w:t xml:space="preserve">ISO 14001:2026 Transition Checklist</w:t>
      </w:r>
    </w:p>
    <w:p>
      <w:pPr>
        <w:pBdr>
          <w:bottom w:val="single" w:color="1A6644" w:sz="12" w:space="6"/>
        </w:pBdr>
        <w:spacing w:after="0" w:before="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ISO 14001:2026 (Published April 2026)  |  Transition deadline: May 2029  |  40 checklist items</w:t>
      </w:r>
    </w:p>
    <w:p>
      <w:pPr>
        <w:spacing w:after="0" w:before="120"/>
      </w:pPr>
    </w:p>
    <w:p>
      <w:pPr>
        <w:shd w:fill="E8F5EF" w:val="clear"/>
        <w:spacing w:after="60" w:before="0"/>
      </w:pPr>
      <w:r>
        <w:rPr>
          <w:rFonts w:ascii="Arial" w:cs="Arial" w:eastAsia="Arial" w:hAnsi="Arial"/>
          <w:b/>
          <w:bCs/>
          <w:color w:val="1A6644"/>
          <w:sz w:val="18"/>
          <w:szCs w:val="18"/>
        </w:rPr>
        <w:t xml:space="preserve">  HOW TO USE THIS CHECKLIST   </w:t>
      </w:r>
      <w:r>
        <w:rPr>
          <w:rFonts w:ascii="Arial" w:cs="Arial" w:eastAsia="Arial" w:hAnsi="Arial"/>
          <w:color w:val="1A1A1A"/>
          <w:sz w:val="18"/>
          <w:szCs w:val="18"/>
        </w:rPr>
        <w:t xml:space="preserve">Review each item against your current management system. Mark: </w:t>
      </w:r>
      <w:r>
        <w:rPr>
          <w:rFonts w:ascii="Arial" w:cs="Arial" w:eastAsia="Arial" w:hAnsi="Arial"/>
          <w:b/>
          <w:bCs/>
          <w:color w:val="1A6644"/>
          <w:sz w:val="18"/>
          <w:szCs w:val="18"/>
        </w:rPr>
        <w:t xml:space="preserve">✅ Compliant  </w:t>
      </w:r>
      <w:r>
        <w:rPr>
          <w:rFonts w:ascii="Arial" w:cs="Arial" w:eastAsia="Arial" w:hAnsi="Arial"/>
          <w:b/>
          <w:bCs/>
          <w:color w:val="B8860B"/>
          <w:sz w:val="18"/>
          <w:szCs w:val="18"/>
        </w:rPr>
        <w:t xml:space="preserve">⚠ Partial  </w:t>
      </w:r>
      <w:r>
        <w:rPr>
          <w:rFonts w:ascii="Arial" w:cs="Arial" w:eastAsia="Arial" w:hAnsi="Arial"/>
          <w:b/>
          <w:bCs/>
          <w:color w:val="C0392B"/>
          <w:sz w:val="18"/>
          <w:szCs w:val="18"/>
        </w:rPr>
        <w:t xml:space="preserve">❌ Gap Identified</w:t>
      </w:r>
    </w:p>
    <w:p>
      <w:pPr>
        <w:spacing w:after="0" w:before="160"/>
      </w:pPr>
    </w:p>
    <w:p>
      <w:pPr>
        <w:pBdr>
          <w:bottom w:val="single" w:color="1A6644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6"/>
          <w:szCs w:val="26"/>
        </w:rPr>
        <w:t xml:space="preserve">SECTION 1 — ORGANISATIONAL CONTEXT — CLIMATE CHANGE (Clauses 4.1 &amp; 4.2)</w:t>
      </w:r>
    </w:p>
    <w:p>
      <w:pPr>
        <w:spacing w:after="0" w:before="6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200"/>
        <w:gridCol w:w="2160"/>
      </w:tblGrid>
      <w:tr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✓</w:t>
            </w:r>
          </w:p>
        </w:tc>
        <w:tc>
          <w:tcPr>
            <w:tcW w:type="dxa" w:w="62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16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the organisation formally assessed whether climate change is a relevant external issue? (Clause 4.1)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the climate change assessment documented in the context analysis?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Have relevant interested parties been reviewed for climate-related requirements? (Clause 4.2)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4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climate-related interested party requirements documented?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5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Do climate-related risks and opportunities flow into EMS planning?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6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the ISO 14001:2015/Amd 1:2024 climate change amendment already been implemented?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</w:p>
    <w:p>
      <w:pPr>
        <w:pBdr>
          <w:bottom w:val="single" w:color="1A6644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6"/>
          <w:szCs w:val="26"/>
        </w:rPr>
        <w:t xml:space="preserve">SECTION 2 — ENVIRONMENTAL ASPECTS, BIODIVERSITY &amp; LIFE CYCLE THINKING (Clause 6.1.2)</w:t>
      </w:r>
    </w:p>
    <w:p>
      <w:pPr>
        <w:spacing w:after="0" w:before="6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200"/>
        <w:gridCol w:w="2160"/>
      </w:tblGrid>
      <w:tr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✓</w:t>
            </w:r>
          </w:p>
        </w:tc>
        <w:tc>
          <w:tcPr>
            <w:tcW w:type="dxa" w:w="62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16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7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Does the environmental aspects register explicitly consider biodiversity impacts?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8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pollution prevention measures documented and linked to environmental aspects?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9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Does the register include value chain and supply chain environmental impacts?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10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environmental aspects from outsourced activities included?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11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life cycle thinking applied from raw material sourcing through to end-of-life?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12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procurement criteria updated to include supplier environmental performance?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13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the updated aspects register been reviewed and approved by a competent EMS representative?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</w:p>
    <w:p>
      <w:pPr>
        <w:pBdr>
          <w:bottom w:val="single" w:color="1A6644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6"/>
          <w:szCs w:val="26"/>
        </w:rPr>
        <w:t xml:space="preserve">SECTION 3 — CHANGE MANAGEMENT — NEW CLAUSE 6.3</w:t>
      </w:r>
    </w:p>
    <w:p>
      <w:pPr>
        <w:spacing w:after="0" w:before="6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200"/>
        <w:gridCol w:w="2160"/>
      </w:tblGrid>
      <w:tr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✓</w:t>
            </w:r>
          </w:p>
        </w:tc>
        <w:tc>
          <w:tcPr>
            <w:tcW w:type="dxa" w:w="62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16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14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Does a documented change management procedure exist for the EMS?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15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Does the procedure define what types of changes must be assessed before implementation?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16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there a process for assessing the environmental impact of planned changes?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17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controls or preventive actions defined for changes with potential environmental significance?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18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there a post-implementation review step to evaluate change control effectiveness?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19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the change management procedure integrated with ISO 9001 / ISO 45001 procedures?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20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change management records maintained as documented information?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</w:p>
    <w:p>
      <w:pPr>
        <w:pBdr>
          <w:bottom w:val="single" w:color="1A6644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6"/>
          <w:szCs w:val="26"/>
        </w:rPr>
        <w:t xml:space="preserve">SECTION 4 — LEADERSHIP AND ACCOUNTABILITY (Clause 5)</w:t>
      </w:r>
    </w:p>
    <w:p>
      <w:pPr>
        <w:spacing w:after="0" w:before="6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200"/>
        <w:gridCol w:w="2160"/>
      </w:tblGrid>
      <w:tr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✓</w:t>
            </w:r>
          </w:p>
        </w:tc>
        <w:tc>
          <w:tcPr>
            <w:tcW w:type="dxa" w:w="62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16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21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Does top management demonstrate active ownership of EMS performance — beyond a signed policy?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22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management review records available that show strategic engagement with EMS performance?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23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leadership been formally briefed on their ISO 14001:2026 accountability obligations?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24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leadership environmental commitments visible to the workforce?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25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there a named top management representative with clear EMS accountability?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</w:p>
    <w:p>
      <w:pPr>
        <w:pBdr>
          <w:bottom w:val="single" w:color="1A6644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6"/>
          <w:szCs w:val="26"/>
        </w:rPr>
        <w:t xml:space="preserve">SECTION 5 — SUPPLY CHAIN &amp; VALUE CHAIN (Clause 8.1)</w:t>
      </w:r>
    </w:p>
    <w:p>
      <w:pPr>
        <w:spacing w:after="0" w:before="6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200"/>
        <w:gridCol w:w="2160"/>
      </w:tblGrid>
      <w:tr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✓</w:t>
            </w:r>
          </w:p>
        </w:tc>
        <w:tc>
          <w:tcPr>
            <w:tcW w:type="dxa" w:w="62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16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26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Do procurement criteria include supplier environmental performance requirements?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27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outsourced activities reviewed for their environmental aspects?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28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there a process for monitoring contractor environmental performance on site?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29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Does product/service design reflect life cycle environmental considerations?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30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key suppliers evaluated against environmental criteria at least annually?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</w:p>
    <w:p>
      <w:pPr>
        <w:pBdr>
          <w:bottom w:val="single" w:color="1A6644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6"/>
          <w:szCs w:val="26"/>
        </w:rPr>
        <w:t xml:space="preserve">SECTION 6 — HARMONIZED STRUCTURE &amp; IMS INTEGRATION</w:t>
      </w:r>
    </w:p>
    <w:p>
      <w:pPr>
        <w:spacing w:after="0" w:before="6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200"/>
        <w:gridCol w:w="2160"/>
      </w:tblGrid>
      <w:tr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✓</w:t>
            </w:r>
          </w:p>
        </w:tc>
        <w:tc>
          <w:tcPr>
            <w:tcW w:type="dxa" w:w="62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16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31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the organisation reviewed the updated Harmonized Structure clause mapping?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32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If an IMS is in place, have shared procedures been identified for ISO 14001:2026, ISO 9001:2026, and ISO 45001:2027?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33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the internal audit programme been reviewed to align with ISO 14001:2026 clause structure?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34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the management review agenda been updated to reflect ISO 14001:2026 requirements?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</w:p>
    <w:p>
      <w:pPr>
        <w:pBdr>
          <w:bottom w:val="single" w:color="1A6644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6"/>
          <w:szCs w:val="26"/>
        </w:rPr>
        <w:t xml:space="preserve">SECTION 7 — TRANSITION PLANNING &amp; CERTIFICATION</w:t>
      </w:r>
    </w:p>
    <w:p>
      <w:pPr>
        <w:spacing w:after="0" w:before="6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600"/>
        <w:gridCol w:w="6200"/>
        <w:gridCol w:w="2160"/>
      </w:tblGrid>
      <w:tr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#</w:t>
            </w:r>
          </w:p>
        </w:tc>
        <w:tc>
          <w:tcPr>
            <w:tcW w:type="dxa" w:w="6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✓</w:t>
            </w:r>
          </w:p>
        </w:tc>
        <w:tc>
          <w:tcPr>
            <w:tcW w:type="dxa" w:w="620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Checklist Item</w:t>
            </w:r>
          </w:p>
        </w:tc>
        <w:tc>
          <w:tcPr>
            <w:tcW w:type="dxa" w:w="2160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Notes / Evidence</w:t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35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the certification body been contacted regarding the ISO 14001:2026 transition audit process?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36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a target transition audit date been confirmed, aligned to the recertification cycle?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37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an internal transition project plan been created with assigned responsibilities?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38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Are relevant EMS personnel being trained on ISO 14001:2026 key changes?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39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Has a formal gap assessment report been produced and shared with top management?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444444"/>
                <w:sz w:val="18"/>
                <w:szCs w:val="18"/>
              </w:rPr>
              <w:t xml:space="preserve">40</w:t>
            </w:r>
          </w:p>
        </w:tc>
        <w:tc>
          <w:tcPr>
            <w:tcW w:type="dxa" w:w="6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  <w:tc>
          <w:tcPr>
            <w:tcW w:type="dxa" w:w="62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12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>Is there a documented action plan to close all identified gaps before the transition audit?</w:t>
            </w:r>
          </w:p>
        </w:tc>
        <w:tc>
          <w:tcPr>
            <w:tcW w:type="dxa" w:w="2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60"/>
              <w:left w:type="dxa" w:w="8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i/>
                <w:iCs/>
                <w:color w:val="444444"/>
                <w:sz w:val="16"/>
                <w:szCs w:val="16"/>
              </w:rPr>
              <w:t xml:space="preserve"/>
            </w:r>
          </w:p>
        </w:tc>
      </w:tr>
    </w:tbl>
    <w:p>
      <w:pPr>
        <w:spacing w:after="0" w:before="120"/>
      </w:pPr>
    </w:p>
    <w:p>
      <w:pPr>
        <w:pBdr>
          <w:bottom w:val="single" w:color="1A6644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6"/>
          <w:szCs w:val="26"/>
        </w:rPr>
        <w:t xml:space="preserve">GAP ASSESSMENT SUMMARY</w:t>
      </w:r>
    </w:p>
    <w:p>
      <w:pPr>
        <w:spacing w:after="0" w:before="8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86"/>
        <w:gridCol w:w="3186"/>
        <w:gridCol w:w="3186"/>
      </w:tblGrid>
      <w:tr>
        <w:tc>
          <w:tcPr>
            <w:tcW w:type="dxa" w:w="3186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✅  Compliant</w:t>
            </w:r>
          </w:p>
        </w:tc>
        <w:tc>
          <w:tcPr>
            <w:tcW w:type="dxa" w:w="3186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⚠  Partial</w:t>
            </w:r>
          </w:p>
        </w:tc>
        <w:tc>
          <w:tcPr>
            <w:tcW w:type="dxa" w:w="3186"/>
            <w:tcBorders>
              <w:top w:val="single" w:color="1A6644" w:sz="1"/>
              <w:left w:val="single" w:color="1A6644" w:sz="1"/>
              <w:bottom w:val="single" w:color="1A6644" w:sz="1"/>
              <w:right w:val="single" w:color="1A6644" w:sz="1"/>
            </w:tcBorders>
            <w:shd w:fill="1A6644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❌  Gap</w:t>
            </w:r>
          </w:p>
        </w:tc>
      </w:tr>
      <w:tr>
        <w:tc>
          <w:tcPr>
            <w:tcW w:type="dxa" w:w="3186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20"/>
              <w:bottom w:type="dxa" w:w="10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/>
            </w:r>
          </w:p>
        </w:tc>
        <w:tc>
          <w:tcPr>
            <w:tcW w:type="dxa" w:w="3186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20"/>
              <w:bottom w:type="dxa" w:w="10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/>
            </w:r>
          </w:p>
        </w:tc>
        <w:tc>
          <w:tcPr>
            <w:tcW w:type="dxa" w:w="3186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100"/>
              <w:left w:type="dxa" w:w="120"/>
              <w:bottom w:type="dxa" w:w="10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color w:val="1A1A1A"/>
                <w:sz w:val="18"/>
                <w:szCs w:val="18"/>
              </w:rPr>
              <w:t xml:space="preserve"/>
            </w:r>
          </w:p>
        </w:tc>
      </w:tr>
    </w:tbl>
    <w:p>
      <w:pPr>
        <w:spacing w:after="0" w:before="120"/>
      </w:pPr>
    </w:p>
    <w:p>
      <w:pPr>
        <w:spacing w:after="60" w:before="0"/>
      </w:pPr>
      <w:r>
        <w:rPr>
          <w:rFonts w:ascii="Arial" w:cs="Arial" w:eastAsia="Arial" w:hAnsi="Arial"/>
          <w:b/>
          <w:bCs/>
          <w:color w:val="1A6644"/>
          <w:sz w:val="20"/>
          <w:szCs w:val="20"/>
        </w:rPr>
        <w:t xml:space="preserve">Priority Gap Areas Identified:</w:t>
      </w:r>
    </w:p>
    <w:p>
      <w:pPr>
        <w:spacing w:after="40" w:before="40"/>
      </w:pPr>
      <w:r>
        <w:rPr>
          <w:rFonts w:ascii="Arial" w:cs="Arial" w:eastAsia="Arial" w:hAnsi="Arial"/>
          <w:color w:val="444444"/>
          <w:sz w:val="18"/>
          <w:szCs w:val="18"/>
        </w:rPr>
        <w:t xml:space="preserve">1.  ____________________________________________________________________________</w:t>
      </w:r>
    </w:p>
    <w:p>
      <w:pPr>
        <w:spacing w:after="40" w:before="40"/>
      </w:pPr>
      <w:r>
        <w:rPr>
          <w:rFonts w:ascii="Arial" w:cs="Arial" w:eastAsia="Arial" w:hAnsi="Arial"/>
          <w:color w:val="444444"/>
          <w:sz w:val="18"/>
          <w:szCs w:val="18"/>
        </w:rPr>
        <w:t xml:space="preserve">2.  ____________________________________________________________________________</w:t>
      </w:r>
    </w:p>
    <w:p>
      <w:pPr>
        <w:spacing w:after="40" w:before="40"/>
      </w:pPr>
      <w:r>
        <w:rPr>
          <w:rFonts w:ascii="Arial" w:cs="Arial" w:eastAsia="Arial" w:hAnsi="Arial"/>
          <w:color w:val="444444"/>
          <w:sz w:val="18"/>
          <w:szCs w:val="18"/>
        </w:rPr>
        <w:t xml:space="preserve">3.  ____________________________________________________________________________</w:t>
      </w:r>
    </w:p>
    <w:p>
      <w:pPr>
        <w:spacing w:after="0" w:before="120"/>
      </w:pPr>
    </w:p>
    <w:p>
      <w:pPr>
        <w:pBdr>
          <w:bottom w:val="single" w:color="1A6644" w:sz="8" w:space="4"/>
        </w:pBdr>
        <w:spacing w:after="80" w:before="280"/>
      </w:pPr>
      <w:r>
        <w:rPr>
          <w:rFonts w:ascii="Arial" w:cs="Arial" w:eastAsia="Arial" w:hAnsi="Arial"/>
          <w:b/>
          <w:bCs/>
          <w:color w:val="1A6644"/>
          <w:sz w:val="26"/>
          <w:szCs w:val="26"/>
        </w:rPr>
        <w:t xml:space="preserve">SIGN-OFF</w:t>
      </w:r>
    </w:p>
    <w:p>
      <w:pPr>
        <w:spacing w:after="0" w:before="80"/>
      </w:pPr>
    </w:p>
    <w:tbl>
      <w:tblPr>
        <w:tblW w:type="dxa" w:w="95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160"/>
      </w:tblGrid>
      <w:tr>
        <w:tc>
          <w:tcPr>
            <w:tcW w:type="dxa" w:w="24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5F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444444"/>
                <w:sz w:val="18"/>
                <w:szCs w:val="18"/>
              </w:rPr>
              <w:t xml:space="preserve">Assessed by:</w:t>
            </w:r>
          </w:p>
        </w:tc>
        <w:tc>
          <w:tcPr>
            <w:tcW w:type="dxa" w:w="7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4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5F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444444"/>
                <w:sz w:val="18"/>
                <w:szCs w:val="18"/>
              </w:rPr>
              <w:t xml:space="preserve">Role / Title:</w:t>
            </w:r>
          </w:p>
        </w:tc>
        <w:tc>
          <w:tcPr>
            <w:tcW w:type="dxa" w:w="7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4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5F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444444"/>
                <w:sz w:val="18"/>
                <w:szCs w:val="18"/>
              </w:rPr>
              <w:t xml:space="preserve">Organisation:</w:t>
            </w:r>
          </w:p>
        </w:tc>
        <w:tc>
          <w:tcPr>
            <w:tcW w:type="dxa" w:w="7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4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5F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444444"/>
                <w:sz w:val="18"/>
                <w:szCs w:val="18"/>
              </w:rPr>
              <w:t xml:space="preserve">Assessment date:</w:t>
            </w:r>
          </w:p>
        </w:tc>
        <w:tc>
          <w:tcPr>
            <w:tcW w:type="dxa" w:w="7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4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5F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444444"/>
                <w:sz w:val="18"/>
                <w:szCs w:val="18"/>
              </w:rPr>
              <w:t xml:space="preserve">Transition audit target:</w:t>
            </w:r>
          </w:p>
        </w:tc>
        <w:tc>
          <w:tcPr>
            <w:tcW w:type="dxa" w:w="7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40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5F5F5" w:val="clear"/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444444"/>
                <w:sz w:val="18"/>
                <w:szCs w:val="18"/>
              </w:rPr>
              <w:t xml:space="preserve">Certification body:</w:t>
            </w:r>
          </w:p>
        </w:tc>
        <w:tc>
          <w:tcPr>
            <w:tcW w:type="dxa" w:w="7160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tcMar>
              <w:top w:type="dxa" w:w="70"/>
              <w:left w:type="dxa" w:w="120"/>
              <w:bottom w:type="dxa" w:w="70"/>
              <w:right w:type="dxa" w:w="8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</w:tr>
    </w:tbl>
    <w:p>
      <w:pPr>
        <w:spacing w:after="0" w:before="160"/>
      </w:pPr>
    </w:p>
    <w:p>
      <w:pPr>
        <w:pBdr>
          <w:top w:val="single" w:color="1A6644" w:sz="6" w:space="6"/>
        </w:pBdr>
        <w:spacing w:after="0" w:before="0"/>
      </w:pPr>
      <w:r>
        <w:rPr>
          <w:rFonts w:ascii="Arial" w:cs="Arial" w:eastAsia="Arial" w:hAnsi="Arial"/>
          <w:color w:val="444444"/>
          <w:sz w:val="16"/>
          <w:szCs w:val="16"/>
        </w:rPr>
        <w:t xml:space="preserve">© 2026 Standards Unlimited. For internal use only. Not for resale. Visit </w:t>
      </w:r>
      <w:r>
        <w:rPr>
          <w:rFonts w:ascii="Arial" w:cs="Arial" w:eastAsia="Arial" w:hAnsi="Arial"/>
          <w:b/>
          <w:bCs/>
          <w:color w:val="1A6644"/>
          <w:sz w:val="16"/>
          <w:szCs w:val="16"/>
        </w:rPr>
        <w:t xml:space="preserve">standardsunlimited.com</w:t>
      </w:r>
      <w:r>
        <w:rPr>
          <w:rFonts w:ascii="Arial" w:cs="Arial" w:eastAsia="Arial" w:hAnsi="Arial"/>
          <w:color w:val="444444"/>
          <w:sz w:val="16"/>
          <w:szCs w:val="16"/>
        </w:rPr>
        <w:t xml:space="preserve"> for the full transition document pack.</w:t>
      </w:r>
    </w:p>
    <w:sectPr>
      <w:pgSz w:w="12240" w:h="15840" w:orient="portrait"/>
      <w:pgMar w:top="720" w:right="900" w:bottom="900" w:left="9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2026-06-22T17:32:06.473Z</dcterms:created>
  <dcterms:modified xsi:type="dcterms:W3CDTF">2026-06-22T17:32:06.473Z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